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42340">
      <w:pPr>
        <w:spacing w:line="360" w:lineRule="exact"/>
        <w:rPr>
          <w:spacing w:val="-5"/>
          <w:szCs w:val="21"/>
        </w:rPr>
      </w:pPr>
      <w:bookmarkStart w:id="0" w:name="_Toc142890354"/>
    </w:p>
    <w:p w14:paraId="74480681">
      <w:pPr>
        <w:adjustRightInd w:val="0"/>
        <w:spacing w:line="360" w:lineRule="exact"/>
        <w:jc w:val="center"/>
        <w:rPr>
          <w:rFonts w:ascii="宋体" w:hAnsi="宋体"/>
          <w:spacing w:val="-5"/>
          <w:sz w:val="30"/>
          <w:szCs w:val="30"/>
        </w:rPr>
      </w:pPr>
      <w:r>
        <w:rPr>
          <w:rFonts w:hint="default" w:ascii="宋体" w:hAnsi="宋体"/>
          <w:spacing w:val="-5"/>
          <w:sz w:val="30"/>
          <w:szCs w:val="30"/>
          <w:lang w:eastAsia="zh-CN"/>
        </w:rPr>
        <w:t>三亚崖州湾科技城管理局</w:t>
      </w:r>
    </w:p>
    <w:p w14:paraId="1F169765">
      <w:pPr>
        <w:adjustRightInd w:val="0"/>
        <w:spacing w:line="360" w:lineRule="exact"/>
        <w:jc w:val="center"/>
        <w:rPr>
          <w:rFonts w:ascii="宋体" w:hAnsi="宋体"/>
          <w:spacing w:val="-4"/>
          <w:szCs w:val="21"/>
        </w:rPr>
      </w:pPr>
      <w:r>
        <w:rPr>
          <w:rFonts w:hint="eastAsia" w:ascii="宋体" w:hAnsi="宋体"/>
          <w:spacing w:val="-4"/>
          <w:sz w:val="30"/>
          <w:szCs w:val="30"/>
        </w:rPr>
        <w:t>同意设置</w:t>
      </w:r>
      <w:r>
        <w:rPr>
          <w:rFonts w:hint="eastAsia" w:ascii="宋体" w:hAnsi="宋体"/>
          <w:spacing w:val="-4"/>
          <w:sz w:val="30"/>
          <w:szCs w:val="30"/>
          <w:lang w:eastAsia="zh-CN"/>
        </w:rPr>
        <w:t>三亚市创意新城污水处理厂</w:t>
      </w:r>
      <w:r>
        <w:rPr>
          <w:rFonts w:ascii="宋体" w:hAnsi="宋体"/>
          <w:spacing w:val="-4"/>
          <w:sz w:val="30"/>
          <w:szCs w:val="30"/>
        </w:rPr>
        <w:t>入河排污口</w:t>
      </w:r>
      <w:r>
        <w:rPr>
          <w:rFonts w:hint="eastAsia" w:ascii="宋体" w:hAnsi="宋体"/>
          <w:spacing w:val="-4"/>
          <w:sz w:val="30"/>
          <w:szCs w:val="30"/>
        </w:rPr>
        <w:t>的</w:t>
      </w:r>
      <w:r>
        <w:rPr>
          <w:rFonts w:ascii="宋体" w:hAnsi="宋体"/>
          <w:spacing w:val="-4"/>
          <w:sz w:val="30"/>
          <w:szCs w:val="30"/>
        </w:rPr>
        <w:t>决定书</w:t>
      </w:r>
    </w:p>
    <w:p w14:paraId="2DF6C061">
      <w:pPr>
        <w:adjustRightInd w:val="0"/>
        <w:spacing w:line="360" w:lineRule="exact"/>
        <w:ind w:right="808"/>
        <w:jc w:val="right"/>
        <w:rPr>
          <w:rFonts w:ascii="宋体" w:hAnsi="宋体"/>
          <w:spacing w:val="-4"/>
          <w:szCs w:val="21"/>
        </w:rPr>
      </w:pPr>
      <w:r>
        <w:rPr>
          <w:rFonts w:hint="eastAsia" w:ascii="宋体" w:hAnsi="宋体"/>
          <w:spacing w:val="-4"/>
          <w:szCs w:val="21"/>
          <w:lang w:val="en-US" w:eastAsia="zh-CN"/>
        </w:rPr>
        <w:t xml:space="preserve">      </w:t>
      </w:r>
      <w:r>
        <w:rPr>
          <w:rFonts w:ascii="宋体" w:hAnsi="宋体"/>
          <w:spacing w:val="-4"/>
          <w:szCs w:val="21"/>
        </w:rPr>
        <w:t>文书号：</w:t>
      </w:r>
      <w:r>
        <w:rPr>
          <w:rFonts w:hint="eastAsia" w:ascii="宋体" w:hAnsi="宋体"/>
          <w:spacing w:val="-4"/>
          <w:szCs w:val="21"/>
          <w:lang w:val="en-US" w:eastAsia="zh-CN"/>
        </w:rPr>
        <w:t>（三科河函〔2025〕1号）</w:t>
      </w:r>
      <w:r>
        <w:rPr>
          <w:rFonts w:ascii="宋体" w:hAnsi="宋体"/>
          <w:spacing w:val="-4"/>
          <w:szCs w:val="21"/>
        </w:rPr>
        <w:t xml:space="preserve">  </w:t>
      </w:r>
    </w:p>
    <w:p w14:paraId="07BD7641">
      <w:pPr>
        <w:adjustRightInd w:val="0"/>
        <w:spacing w:line="360" w:lineRule="exact"/>
        <w:rPr>
          <w:rFonts w:ascii="宋体" w:hAnsi="宋体"/>
          <w:kern w:val="0"/>
          <w:szCs w:val="21"/>
          <w:lang w:val="zh-TW" w:eastAsia="zh-TW"/>
        </w:rPr>
      </w:pPr>
      <w:r>
        <w:rPr>
          <w:rFonts w:hint="default" w:ascii="宋体" w:hAnsi="宋体"/>
          <w:kern w:val="0"/>
          <w:szCs w:val="21"/>
          <w:lang w:val="zh-TW" w:eastAsia="zh-TW"/>
        </w:rPr>
        <w:t>三亚市创意新城污水处理有限公司创意分公司</w:t>
      </w:r>
      <w:r>
        <w:rPr>
          <w:rFonts w:ascii="宋体" w:hAnsi="宋体"/>
          <w:kern w:val="0"/>
          <w:szCs w:val="21"/>
          <w:lang w:val="zh-TW" w:eastAsia="zh-TW"/>
        </w:rPr>
        <w:t>：</w:t>
      </w:r>
    </w:p>
    <w:p w14:paraId="5B3627E9">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val="en-US" w:eastAsia="zh-CN"/>
        </w:rPr>
        <w:t>2025</w:t>
      </w:r>
      <w:r>
        <w:rPr>
          <w:rFonts w:ascii="宋体" w:hAnsi="宋体" w:eastAsia="宋体"/>
          <w:spacing w:val="-6"/>
          <w:sz w:val="21"/>
          <w:szCs w:val="21"/>
          <w:lang w:eastAsia="zh-CN"/>
        </w:rPr>
        <w:t>年</w:t>
      </w:r>
      <w:r>
        <w:rPr>
          <w:rFonts w:hint="eastAsia" w:ascii="宋体" w:hAnsi="宋体" w:eastAsia="宋体"/>
          <w:spacing w:val="-6"/>
          <w:sz w:val="21"/>
          <w:szCs w:val="21"/>
          <w:lang w:val="en-US" w:eastAsia="zh-CN"/>
        </w:rPr>
        <w:t>3</w:t>
      </w:r>
      <w:r>
        <w:rPr>
          <w:rFonts w:ascii="宋体" w:hAnsi="宋体" w:eastAsia="宋体"/>
          <w:spacing w:val="-6"/>
          <w:sz w:val="21"/>
          <w:szCs w:val="21"/>
          <w:lang w:eastAsia="zh-CN"/>
        </w:rPr>
        <w:t>月</w:t>
      </w:r>
      <w:r>
        <w:rPr>
          <w:rFonts w:hint="eastAsia" w:ascii="宋体" w:hAnsi="宋体" w:eastAsia="宋体"/>
          <w:spacing w:val="-6"/>
          <w:sz w:val="21"/>
          <w:szCs w:val="21"/>
          <w:lang w:val="en-US" w:eastAsia="zh-CN"/>
        </w:rPr>
        <w:t>20</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三亚市创意新城污水处理厂</w:t>
      </w:r>
      <w:r>
        <w:rPr>
          <w:rFonts w:ascii="宋体" w:hAnsi="宋体" w:eastAsia="宋体"/>
          <w:spacing w:val="-6"/>
          <w:sz w:val="21"/>
          <w:szCs w:val="21"/>
          <w:lang w:eastAsia="zh-CN"/>
        </w:rPr>
        <w:t>入河排污口设置申请。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同意三亚市创意新城污水处理厂</w:t>
      </w:r>
      <w:r>
        <w:rPr>
          <w:rFonts w:ascii="宋体" w:hAnsi="宋体" w:eastAsia="宋体"/>
          <w:spacing w:val="-6"/>
          <w:sz w:val="21"/>
          <w:szCs w:val="21"/>
          <w:lang w:eastAsia="zh-CN"/>
        </w:rPr>
        <w:t>入河排污口设置决定如下：</w:t>
      </w:r>
    </w:p>
    <w:tbl>
      <w:tblPr>
        <w:tblStyle w:val="2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528E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066E8913">
            <w:pPr>
              <w:pStyle w:val="10"/>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2061CD58">
            <w:pPr>
              <w:widowControl/>
              <w:spacing w:line="360" w:lineRule="exact"/>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rPr>
              <w:t>工矿企业入河排污口</w:t>
            </w:r>
          </w:p>
          <w:p w14:paraId="06EABB70">
            <w:pPr>
              <w:widowControl/>
              <w:spacing w:line="360" w:lineRule="exact"/>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rPr>
              <w:t>工业及其他各类园区污水处理厂入河排污口</w:t>
            </w:r>
          </w:p>
          <w:p w14:paraId="07F67238">
            <w:pPr>
              <w:widowControl/>
              <w:spacing w:line="360" w:lineRule="exact"/>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rPr>
              <w:t>城镇污水处理厂入河排污口</w:t>
            </w:r>
          </w:p>
          <w:p w14:paraId="08AD2371">
            <w:pPr>
              <w:widowControl/>
              <w:spacing w:line="360" w:lineRule="exact"/>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其他参照上述管理的入河排污口_</w:t>
            </w:r>
            <w:r>
              <w:rPr>
                <w:szCs w:val="20"/>
              </w:rPr>
              <w:t>______________</w:t>
            </w:r>
          </w:p>
        </w:tc>
      </w:tr>
      <w:tr w14:paraId="243F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4193C16C">
            <w:pPr>
              <w:widowControl/>
              <w:spacing w:line="360" w:lineRule="exact"/>
              <w:jc w:val="center"/>
              <w:rPr>
                <w:szCs w:val="21"/>
              </w:rPr>
            </w:pPr>
            <w:r>
              <w:rPr>
                <w:rFonts w:hint="eastAsia"/>
                <w:szCs w:val="21"/>
              </w:rPr>
              <w:t>入河排污口名称</w:t>
            </w:r>
          </w:p>
        </w:tc>
        <w:tc>
          <w:tcPr>
            <w:tcW w:w="6115" w:type="dxa"/>
            <w:gridSpan w:val="6"/>
            <w:vAlign w:val="center"/>
          </w:tcPr>
          <w:p w14:paraId="13D097CF">
            <w:pPr>
              <w:widowControl/>
              <w:spacing w:line="360" w:lineRule="exact"/>
              <w:rPr>
                <w:szCs w:val="20"/>
              </w:rPr>
            </w:pPr>
            <w:r>
              <w:rPr>
                <w:rFonts w:hint="eastAsia"/>
                <w:szCs w:val="20"/>
              </w:rPr>
              <w:t>海南省三亚市崖州区崖州湾科技城三亚</w:t>
            </w:r>
            <w:r>
              <w:rPr>
                <w:rFonts w:hint="eastAsia"/>
                <w:szCs w:val="20"/>
                <w:lang w:eastAsia="zh-CN"/>
              </w:rPr>
              <w:t>市创意新城污水处理有限公司创意分</w:t>
            </w:r>
            <w:r>
              <w:rPr>
                <w:rFonts w:hint="eastAsia"/>
                <w:szCs w:val="20"/>
                <w:lang w:val="en-US" w:eastAsia="zh-CN"/>
              </w:rPr>
              <w:t>公司</w:t>
            </w:r>
            <w:r>
              <w:rPr>
                <w:rFonts w:hint="eastAsia"/>
              </w:rPr>
              <w:t>城镇污水处理厂入河排污口</w:t>
            </w:r>
          </w:p>
        </w:tc>
      </w:tr>
      <w:tr w14:paraId="45EB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626511C">
            <w:pPr>
              <w:widowControl/>
              <w:spacing w:line="360" w:lineRule="exact"/>
              <w:jc w:val="center"/>
              <w:rPr>
                <w:szCs w:val="21"/>
              </w:rPr>
            </w:pPr>
            <w:r>
              <w:rPr>
                <w:rFonts w:hint="eastAsia"/>
                <w:szCs w:val="21"/>
              </w:rPr>
              <w:t>入河排污口编码</w:t>
            </w:r>
          </w:p>
        </w:tc>
        <w:tc>
          <w:tcPr>
            <w:tcW w:w="6115" w:type="dxa"/>
            <w:gridSpan w:val="6"/>
            <w:vAlign w:val="center"/>
          </w:tcPr>
          <w:p w14:paraId="723919C3">
            <w:pPr>
              <w:widowControl/>
              <w:spacing w:line="360" w:lineRule="exact"/>
              <w:rPr>
                <w:szCs w:val="20"/>
              </w:rPr>
            </w:pPr>
            <w:r>
              <w:rPr>
                <w:rFonts w:hint="eastAsia"/>
                <w:szCs w:val="20"/>
              </w:rPr>
              <w:t>HF4602050069SH00</w:t>
            </w:r>
          </w:p>
        </w:tc>
      </w:tr>
      <w:tr w14:paraId="49E7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7D411F90">
            <w:pPr>
              <w:widowControl/>
              <w:spacing w:line="360" w:lineRule="exact"/>
              <w:jc w:val="center"/>
              <w:rPr>
                <w:szCs w:val="21"/>
              </w:rPr>
            </w:pPr>
            <w:r>
              <w:rPr>
                <w:rFonts w:hint="eastAsia"/>
                <w:szCs w:val="21"/>
              </w:rPr>
              <w:t>设置类型</w:t>
            </w:r>
          </w:p>
        </w:tc>
        <w:tc>
          <w:tcPr>
            <w:tcW w:w="6115" w:type="dxa"/>
            <w:gridSpan w:val="6"/>
            <w:vAlign w:val="center"/>
          </w:tcPr>
          <w:p w14:paraId="7BB502CF">
            <w:pPr>
              <w:widowControl/>
              <w:spacing w:line="360" w:lineRule="exact"/>
              <w:rPr>
                <w:szCs w:val="20"/>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1"/>
              </w:rPr>
              <w:t>新设</w:t>
            </w:r>
            <w:r>
              <w:rPr>
                <w:szCs w:val="20"/>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1"/>
              </w:rPr>
              <w:t>改设</w:t>
            </w:r>
            <w:r>
              <w:rPr>
                <w:szCs w:val="20"/>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1"/>
              </w:rPr>
              <w:t>扩大</w:t>
            </w:r>
            <w:r>
              <w:rPr>
                <w:szCs w:val="20"/>
                <w:lang w:val="en"/>
              </w:rPr>
              <w:t xml:space="preserve"> </w:t>
            </w:r>
            <w:r>
              <w:rPr>
                <w:rFonts w:hint="eastAsia"/>
                <w:szCs w:val="20"/>
              </w:rPr>
              <w:t xml:space="preserve"> </w:t>
            </w:r>
          </w:p>
        </w:tc>
      </w:tr>
      <w:tr w14:paraId="04B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01D571CB">
            <w:pPr>
              <w:widowControl/>
              <w:spacing w:line="360" w:lineRule="exact"/>
              <w:rPr>
                <w:szCs w:val="20"/>
              </w:rPr>
            </w:pPr>
            <w:r>
              <w:rPr>
                <w:rFonts w:hint="eastAsia"/>
                <w:szCs w:val="20"/>
              </w:rPr>
              <w:t>责任主体基本情况</w:t>
            </w:r>
          </w:p>
        </w:tc>
      </w:tr>
      <w:tr w14:paraId="7185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01C7B0FE">
            <w:pPr>
              <w:widowControl/>
              <w:spacing w:line="360" w:lineRule="exact"/>
              <w:rPr>
                <w:kern w:val="0"/>
                <w:szCs w:val="21"/>
              </w:rPr>
            </w:pPr>
            <w:r>
              <w:rPr>
                <w:rFonts w:hint="eastAsia"/>
                <w:kern w:val="0"/>
                <w:szCs w:val="21"/>
              </w:rPr>
              <w:t>责任主体1名称：</w:t>
            </w:r>
            <w:r>
              <w:rPr>
                <w:rFonts w:hint="eastAsia"/>
                <w:kern w:val="0"/>
                <w:szCs w:val="21"/>
                <w:lang w:eastAsia="zh-CN"/>
              </w:rPr>
              <w:t>三亚市创意新城污水处理有限公司创意分公司</w:t>
            </w:r>
          </w:p>
        </w:tc>
      </w:tr>
      <w:tr w14:paraId="4571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1ADF8AD4">
            <w:pPr>
              <w:widowControl/>
              <w:spacing w:line="360" w:lineRule="exact"/>
              <w:jc w:val="center"/>
              <w:rPr>
                <w:kern w:val="0"/>
                <w:szCs w:val="21"/>
              </w:rPr>
            </w:pPr>
            <w:r>
              <w:rPr>
                <w:rFonts w:hint="eastAsia"/>
                <w:kern w:val="0"/>
                <w:szCs w:val="21"/>
              </w:rPr>
              <w:t>详细地址</w:t>
            </w:r>
          </w:p>
        </w:tc>
        <w:tc>
          <w:tcPr>
            <w:tcW w:w="6115" w:type="dxa"/>
            <w:gridSpan w:val="6"/>
            <w:vAlign w:val="center"/>
          </w:tcPr>
          <w:p w14:paraId="0096292F">
            <w:pPr>
              <w:widowControl/>
              <w:spacing w:line="360" w:lineRule="exact"/>
              <w:rPr>
                <w:kern w:val="0"/>
                <w:szCs w:val="21"/>
              </w:rPr>
            </w:pPr>
            <w:r>
              <w:rPr>
                <w:rFonts w:hint="eastAsia"/>
                <w:szCs w:val="21"/>
                <w:u w:val="none"/>
              </w:rPr>
              <w:t>海南省三亚市崖州区创意产业园标准厂房一期三楼A5号房</w:t>
            </w:r>
            <w:r>
              <w:rPr>
                <w:szCs w:val="21"/>
                <w:u w:val="none"/>
              </w:rPr>
              <w:t xml:space="preserve">     </w:t>
            </w:r>
            <w:r>
              <w:rPr>
                <w:szCs w:val="21"/>
                <w:u w:val="single"/>
              </w:rPr>
              <w:t xml:space="preserve">  </w:t>
            </w:r>
          </w:p>
        </w:tc>
      </w:tr>
      <w:tr w14:paraId="63D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742BE99C">
            <w:pPr>
              <w:widowControl/>
              <w:spacing w:line="360" w:lineRule="exact"/>
              <w:jc w:val="center"/>
              <w:rPr>
                <w:szCs w:val="21"/>
              </w:rPr>
            </w:pPr>
            <w:r>
              <w:rPr>
                <w:rFonts w:hint="eastAsia"/>
                <w:szCs w:val="21"/>
              </w:rPr>
              <w:t>统一社会信用代码</w:t>
            </w:r>
          </w:p>
        </w:tc>
        <w:tc>
          <w:tcPr>
            <w:tcW w:w="6115" w:type="dxa"/>
            <w:gridSpan w:val="6"/>
            <w:vAlign w:val="center"/>
          </w:tcPr>
          <w:p w14:paraId="29163B35">
            <w:pPr>
              <w:widowControl/>
              <w:spacing w:line="360" w:lineRule="exact"/>
            </w:pPr>
            <w:r>
              <w:rPr>
                <w:rFonts w:hint="eastAsia"/>
              </w:rPr>
              <w:t>91460000MAD</w:t>
            </w:r>
            <w:r>
              <w:rPr>
                <w:rFonts w:hint="eastAsia"/>
                <w:lang w:val="en-US" w:eastAsia="zh-CN"/>
              </w:rPr>
              <w:t>F</w:t>
            </w:r>
            <w:r>
              <w:rPr>
                <w:rFonts w:hint="eastAsia"/>
              </w:rPr>
              <w:t>NXJQ3M</w:t>
            </w:r>
          </w:p>
        </w:tc>
      </w:tr>
      <w:tr w14:paraId="46BF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3F9B3E20">
            <w:pPr>
              <w:widowControl/>
              <w:spacing w:line="360" w:lineRule="exact"/>
              <w:jc w:val="center"/>
              <w:rPr>
                <w:szCs w:val="21"/>
              </w:rPr>
            </w:pPr>
            <w:r>
              <w:rPr>
                <w:rFonts w:hint="eastAsia"/>
                <w:szCs w:val="21"/>
              </w:rPr>
              <w:t>法定代表人</w:t>
            </w:r>
          </w:p>
        </w:tc>
        <w:tc>
          <w:tcPr>
            <w:tcW w:w="6115" w:type="dxa"/>
            <w:gridSpan w:val="6"/>
            <w:vAlign w:val="center"/>
          </w:tcPr>
          <w:p w14:paraId="5D064964">
            <w:pPr>
              <w:widowControl/>
              <w:spacing w:line="360" w:lineRule="exact"/>
            </w:pPr>
            <w:bookmarkStart w:id="1" w:name="_GoBack"/>
            <w:bookmarkEnd w:id="1"/>
            <w:r>
              <w:t xml:space="preserve"> </w:t>
            </w:r>
            <w:r>
              <w:rPr>
                <w:rFonts w:hint="eastAsia"/>
              </w:rPr>
              <w:t>唐楚翔</w:t>
            </w:r>
            <w:r>
              <w:rPr>
                <w:lang w:val="en"/>
              </w:rPr>
              <w:t xml:space="preserve"> </w:t>
            </w:r>
            <w:r>
              <w:t xml:space="preserve">    </w:t>
            </w:r>
            <w:r>
              <w:rPr>
                <w:rFonts w:hint="eastAsia"/>
                <w:lang w:val="en-US" w:eastAsia="zh-CN"/>
              </w:rPr>
              <w:t xml:space="preserve">    </w:t>
            </w:r>
            <w:r>
              <w:rPr>
                <w:szCs w:val="21"/>
              </w:rPr>
              <w:t xml:space="preserve">               </w:t>
            </w:r>
          </w:p>
        </w:tc>
      </w:tr>
      <w:tr w14:paraId="3E41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6481C301">
            <w:pPr>
              <w:widowControl/>
              <w:spacing w:line="360" w:lineRule="exact"/>
              <w:jc w:val="center"/>
              <w:rPr>
                <w:szCs w:val="21"/>
              </w:rPr>
            </w:pPr>
            <w:r>
              <w:rPr>
                <w:rFonts w:hint="eastAsia"/>
                <w:szCs w:val="21"/>
              </w:rPr>
              <w:t>行业类别</w:t>
            </w:r>
          </w:p>
        </w:tc>
        <w:tc>
          <w:tcPr>
            <w:tcW w:w="6115" w:type="dxa"/>
            <w:gridSpan w:val="6"/>
            <w:vAlign w:val="center"/>
          </w:tcPr>
          <w:p w14:paraId="496B8638">
            <w:pPr>
              <w:widowControl/>
              <w:spacing w:line="360" w:lineRule="exact"/>
            </w:pPr>
            <w:r>
              <w:rPr>
                <w:rFonts w:hint="default"/>
                <w:lang w:val="en-US" w:eastAsia="zh-CN"/>
              </w:rPr>
              <w:t>污水处理及其再生利用</w:t>
            </w:r>
          </w:p>
        </w:tc>
      </w:tr>
      <w:tr w14:paraId="30D6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0DF3E795">
            <w:pPr>
              <w:widowControl/>
              <w:spacing w:line="360" w:lineRule="exact"/>
              <w:jc w:val="center"/>
              <w:rPr>
                <w:szCs w:val="21"/>
              </w:rPr>
            </w:pPr>
            <w:r>
              <w:rPr>
                <w:rFonts w:hint="eastAsia"/>
                <w:szCs w:val="20"/>
              </w:rPr>
              <w:t>排污许可证或排污登记编号</w:t>
            </w:r>
          </w:p>
        </w:tc>
        <w:tc>
          <w:tcPr>
            <w:tcW w:w="6115" w:type="dxa"/>
            <w:gridSpan w:val="6"/>
            <w:vAlign w:val="center"/>
          </w:tcPr>
          <w:p w14:paraId="43F57093">
            <w:pPr>
              <w:widowControl/>
              <w:spacing w:line="360" w:lineRule="exact"/>
              <w:rPr>
                <w:rFonts w:hint="eastAsia" w:eastAsia="宋体"/>
                <w:lang w:val="en-US" w:eastAsia="zh-CN"/>
              </w:rPr>
            </w:pPr>
            <w:r>
              <w:rPr>
                <w:rFonts w:hint="eastAsia"/>
              </w:rPr>
              <w:t>91460000MADFNXJQ3M001</w:t>
            </w:r>
            <w:r>
              <w:rPr>
                <w:rFonts w:hint="eastAsia"/>
                <w:lang w:val="en-US" w:eastAsia="zh-CN"/>
              </w:rPr>
              <w:t>Q</w:t>
            </w:r>
          </w:p>
        </w:tc>
      </w:tr>
      <w:tr w14:paraId="729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76A6F90E">
            <w:pPr>
              <w:widowControl/>
              <w:spacing w:line="360" w:lineRule="exact"/>
              <w:jc w:val="center"/>
              <w:rPr>
                <w:szCs w:val="21"/>
              </w:rPr>
            </w:pPr>
            <w:r>
              <w:rPr>
                <w:rFonts w:hint="eastAsia"/>
                <w:szCs w:val="21"/>
              </w:rPr>
              <w:t>入河排污口</w:t>
            </w:r>
          </w:p>
          <w:p w14:paraId="6ACF4262">
            <w:pPr>
              <w:widowControl/>
              <w:spacing w:line="360" w:lineRule="exact"/>
              <w:jc w:val="center"/>
              <w:rPr>
                <w:szCs w:val="21"/>
              </w:rPr>
            </w:pPr>
            <w:r>
              <w:rPr>
                <w:rFonts w:hint="eastAsia"/>
                <w:szCs w:val="21"/>
              </w:rPr>
              <w:t>设置地点</w:t>
            </w:r>
          </w:p>
        </w:tc>
        <w:tc>
          <w:tcPr>
            <w:tcW w:w="6115" w:type="dxa"/>
            <w:gridSpan w:val="6"/>
            <w:vAlign w:val="center"/>
          </w:tcPr>
          <w:p w14:paraId="119FD20C">
            <w:pPr>
              <w:widowControl/>
              <w:spacing w:line="360" w:lineRule="exact"/>
              <w:rPr>
                <w:szCs w:val="21"/>
              </w:rPr>
            </w:pPr>
            <w:r>
              <w:rPr>
                <w:rFonts w:hint="eastAsia"/>
                <w:szCs w:val="21"/>
              </w:rPr>
              <w:t>所在行政区域：海南省三亚市崖州区崖州湾科技城</w:t>
            </w:r>
          </w:p>
        </w:tc>
      </w:tr>
      <w:tr w14:paraId="54A7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57B9FB75">
            <w:pPr>
              <w:widowControl/>
              <w:spacing w:line="360" w:lineRule="exact"/>
              <w:jc w:val="center"/>
              <w:rPr>
                <w:szCs w:val="21"/>
              </w:rPr>
            </w:pPr>
          </w:p>
        </w:tc>
        <w:tc>
          <w:tcPr>
            <w:tcW w:w="6115" w:type="dxa"/>
            <w:gridSpan w:val="6"/>
            <w:vAlign w:val="center"/>
          </w:tcPr>
          <w:p w14:paraId="16AC00F8">
            <w:pPr>
              <w:widowControl/>
              <w:spacing w:line="360" w:lineRule="exact"/>
              <w:rPr>
                <w:szCs w:val="21"/>
              </w:rPr>
            </w:pPr>
            <w:r>
              <w:rPr>
                <w:rFonts w:hint="eastAsia"/>
                <w:szCs w:val="21"/>
              </w:rPr>
              <w:t>排入水体名称：科技城景观水系支流河道2</w:t>
            </w:r>
          </w:p>
        </w:tc>
      </w:tr>
      <w:tr w14:paraId="3033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024D14E1">
            <w:pPr>
              <w:widowControl/>
              <w:spacing w:line="360" w:lineRule="exact"/>
              <w:jc w:val="center"/>
              <w:rPr>
                <w:szCs w:val="21"/>
              </w:rPr>
            </w:pPr>
          </w:p>
        </w:tc>
        <w:tc>
          <w:tcPr>
            <w:tcW w:w="6115" w:type="dxa"/>
            <w:gridSpan w:val="6"/>
            <w:vAlign w:val="center"/>
          </w:tcPr>
          <w:p w14:paraId="6723AEEC">
            <w:pPr>
              <w:widowControl/>
              <w:spacing w:line="360" w:lineRule="exact"/>
              <w:rPr>
                <w:rFonts w:hint="eastAsia" w:eastAsia="宋体"/>
                <w:szCs w:val="21"/>
                <w:lang w:val="en-US" w:eastAsia="zh-CN"/>
              </w:rPr>
            </w:pPr>
            <w:r>
              <w:rPr>
                <w:rFonts w:hint="eastAsia"/>
                <w:szCs w:val="21"/>
              </w:rPr>
              <w:t>所在流域：</w:t>
            </w:r>
            <w:r>
              <w:rPr>
                <w:rFonts w:hint="eastAsia"/>
                <w:szCs w:val="21"/>
                <w:lang w:val="en-US" w:eastAsia="zh-CN"/>
              </w:rPr>
              <w:t>/</w:t>
            </w:r>
          </w:p>
        </w:tc>
      </w:tr>
      <w:tr w14:paraId="39B0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14:paraId="1493B2FF">
            <w:pPr>
              <w:widowControl/>
              <w:spacing w:line="360" w:lineRule="exact"/>
              <w:jc w:val="center"/>
              <w:rPr>
                <w:szCs w:val="21"/>
              </w:rPr>
            </w:pPr>
          </w:p>
        </w:tc>
        <w:tc>
          <w:tcPr>
            <w:tcW w:w="6115" w:type="dxa"/>
            <w:gridSpan w:val="6"/>
            <w:vAlign w:val="center"/>
          </w:tcPr>
          <w:p w14:paraId="1E84FC18">
            <w:pPr>
              <w:widowControl/>
              <w:spacing w:line="360" w:lineRule="exact"/>
              <w:rPr>
                <w:rFonts w:hint="default" w:ascii="Times New Roman" w:hAnsi="Times New Roman" w:cs="Times New Roman"/>
                <w:szCs w:val="20"/>
              </w:rPr>
            </w:pPr>
            <w:r>
              <w:rPr>
                <w:rFonts w:hint="eastAsia" w:ascii="Times New Roman" w:hAnsi="Times New Roman" w:eastAsia="宋体" w:cs="Times New Roman"/>
                <w:color w:val="000000"/>
                <w:spacing w:val="0"/>
                <w:kern w:val="0"/>
                <w:sz w:val="21"/>
                <w:szCs w:val="21"/>
                <w:lang w:val="en-US" w:eastAsia="zh-CN" w:bidi="ar-SA"/>
              </w:rPr>
              <w:t>经度：</w:t>
            </w:r>
            <w:r>
              <w:rPr>
                <w:rFonts w:hint="default" w:ascii="Times New Roman" w:hAnsi="Times New Roman" w:eastAsia="宋体" w:cs="Times New Roman"/>
                <w:color w:val="000000"/>
                <w:spacing w:val="0"/>
                <w:kern w:val="0"/>
                <w:sz w:val="21"/>
                <w:szCs w:val="21"/>
                <w:lang w:val="en-US" w:eastAsia="zh-CN" w:bidi="ar-SA"/>
              </w:rPr>
              <w:t>109°09'26.124415"</w:t>
            </w:r>
          </w:p>
          <w:p w14:paraId="3A85392C">
            <w:pPr>
              <w:widowControl/>
              <w:spacing w:line="360" w:lineRule="exact"/>
              <w:rPr>
                <w:szCs w:val="21"/>
              </w:rPr>
            </w:pPr>
            <w:r>
              <w:rPr>
                <w:rFonts w:hint="default" w:ascii="Times New Roman" w:hAnsi="Times New Roman" w:cs="Times New Roman"/>
                <w:szCs w:val="20"/>
              </w:rPr>
              <w:t>纬度：</w:t>
            </w:r>
            <w:r>
              <w:rPr>
                <w:rFonts w:hint="default" w:ascii="Times New Roman" w:hAnsi="Times New Roman" w:eastAsia="宋体" w:cs="Times New Roman"/>
                <w:color w:val="000000"/>
                <w:spacing w:val="0"/>
                <w:kern w:val="0"/>
                <w:sz w:val="21"/>
                <w:szCs w:val="21"/>
                <w:lang w:val="en-US" w:eastAsia="zh-CN" w:bidi="ar-SA"/>
              </w:rPr>
              <w:t>18°19'53.693984"</w:t>
            </w:r>
          </w:p>
        </w:tc>
      </w:tr>
      <w:tr w14:paraId="0721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70273312">
            <w:pPr>
              <w:widowControl/>
              <w:spacing w:line="360" w:lineRule="exact"/>
              <w:jc w:val="center"/>
              <w:rPr>
                <w:szCs w:val="20"/>
              </w:rPr>
            </w:pPr>
            <w:r>
              <w:rPr>
                <w:rFonts w:hint="eastAsia"/>
                <w:szCs w:val="20"/>
              </w:rPr>
              <w:t>污水排放方式</w:t>
            </w:r>
          </w:p>
        </w:tc>
        <w:tc>
          <w:tcPr>
            <w:tcW w:w="1133" w:type="dxa"/>
            <w:vAlign w:val="center"/>
          </w:tcPr>
          <w:p w14:paraId="095B623D">
            <w:pPr>
              <w:widowControl/>
              <w:spacing w:line="360" w:lineRule="exact"/>
              <w:rPr>
                <w:szCs w:val="20"/>
              </w:rPr>
            </w:pPr>
            <w:r>
              <w:rPr>
                <w:rFonts w:hint="eastAsia" w:cs="Times New Roman"/>
                <w:color w:val="000000" w:themeColor="text1"/>
                <w:sz w:val="21"/>
                <w:szCs w:val="21"/>
                <w:highlight w:val="none"/>
                <w:lang w:eastAsia="zh-CN"/>
                <w14:textFill>
                  <w14:solidFill>
                    <w14:schemeClr w14:val="tx1"/>
                  </w14:solidFill>
                </w14:textFill>
              </w:rPr>
              <w:t>☑</w:t>
            </w:r>
            <w:r>
              <w:rPr>
                <w:rFonts w:hint="eastAsia"/>
                <w:szCs w:val="20"/>
              </w:rPr>
              <w:t>连续</w:t>
            </w:r>
            <w:r>
              <w:rPr>
                <w:szCs w:val="20"/>
              </w:rPr>
              <w:t xml:space="preserve"> </w:t>
            </w:r>
          </w:p>
          <w:p w14:paraId="44A6DF52">
            <w:pPr>
              <w:widowControl/>
              <w:spacing w:line="360" w:lineRule="exact"/>
              <w:rPr>
                <w:szCs w:val="20"/>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间歇</w:t>
            </w:r>
          </w:p>
        </w:tc>
        <w:tc>
          <w:tcPr>
            <w:tcW w:w="851" w:type="dxa"/>
            <w:vMerge w:val="restart"/>
            <w:vAlign w:val="center"/>
          </w:tcPr>
          <w:p w14:paraId="4489C89D">
            <w:pPr>
              <w:widowControl/>
              <w:spacing w:line="360" w:lineRule="exact"/>
              <w:ind w:right="-105" w:rightChars="-50"/>
              <w:rPr>
                <w:szCs w:val="20"/>
              </w:rPr>
            </w:pPr>
            <w:r>
              <w:rPr>
                <w:rFonts w:hint="eastAsia"/>
                <w:szCs w:val="20"/>
              </w:rPr>
              <w:t>入河</w:t>
            </w:r>
          </w:p>
          <w:p w14:paraId="27E381E9">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0547E421">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管道</w:t>
            </w:r>
          </w:p>
          <w:p w14:paraId="1BFDE023">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3AA33006">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0154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8A80F5E">
            <w:pPr>
              <w:widowControl/>
              <w:spacing w:line="360" w:lineRule="exact"/>
              <w:jc w:val="center"/>
              <w:rPr>
                <w:szCs w:val="20"/>
              </w:rPr>
            </w:pPr>
            <w:r>
              <w:rPr>
                <w:rFonts w:hint="eastAsia"/>
                <w:szCs w:val="21"/>
              </w:rPr>
              <w:t>是否共用</w:t>
            </w:r>
          </w:p>
        </w:tc>
        <w:tc>
          <w:tcPr>
            <w:tcW w:w="1133" w:type="dxa"/>
            <w:vAlign w:val="center"/>
          </w:tcPr>
          <w:p w14:paraId="54A8264D">
            <w:pPr>
              <w:widowControl/>
              <w:spacing w:line="360" w:lineRule="exact"/>
              <w:rPr>
                <w:szCs w:val="20"/>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是</w:t>
            </w:r>
          </w:p>
          <w:p w14:paraId="4D229AF6">
            <w:pPr>
              <w:widowControl/>
              <w:spacing w:line="360" w:lineRule="exact"/>
              <w:rPr>
                <w:szCs w:val="20"/>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否</w:t>
            </w:r>
          </w:p>
        </w:tc>
        <w:tc>
          <w:tcPr>
            <w:tcW w:w="851" w:type="dxa"/>
            <w:vMerge w:val="continue"/>
            <w:vAlign w:val="center"/>
          </w:tcPr>
          <w:p w14:paraId="74E84AC4">
            <w:pPr>
              <w:widowControl/>
              <w:spacing w:line="360" w:lineRule="exact"/>
              <w:rPr>
                <w:szCs w:val="20"/>
              </w:rPr>
            </w:pPr>
          </w:p>
        </w:tc>
        <w:tc>
          <w:tcPr>
            <w:tcW w:w="4131" w:type="dxa"/>
            <w:gridSpan w:val="4"/>
            <w:vMerge w:val="continue"/>
            <w:vAlign w:val="center"/>
          </w:tcPr>
          <w:p w14:paraId="57A688D9">
            <w:pPr>
              <w:widowControl/>
              <w:spacing w:line="360" w:lineRule="exact"/>
              <w:rPr>
                <w:szCs w:val="20"/>
              </w:rPr>
            </w:pPr>
          </w:p>
        </w:tc>
      </w:tr>
      <w:tr w14:paraId="3CC0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6F7E8982">
            <w:pPr>
              <w:widowControl/>
              <w:spacing w:line="360" w:lineRule="exact"/>
              <w:jc w:val="center"/>
              <w:rPr>
                <w:szCs w:val="20"/>
              </w:rPr>
            </w:pPr>
            <w:r>
              <w:rPr>
                <w:rFonts w:hint="eastAsia"/>
                <w:szCs w:val="28"/>
              </w:rPr>
              <w:t>入河排污口截面信息</w:t>
            </w:r>
          </w:p>
        </w:tc>
        <w:tc>
          <w:tcPr>
            <w:tcW w:w="6115" w:type="dxa"/>
            <w:gridSpan w:val="6"/>
            <w:vAlign w:val="center"/>
          </w:tcPr>
          <w:p w14:paraId="35DAE19A">
            <w:pPr>
              <w:widowControl/>
              <w:spacing w:line="360" w:lineRule="exact"/>
              <w:rPr>
                <w:szCs w:val="20"/>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圆形截面：</w:t>
            </w:r>
            <w:r>
              <w:rPr>
                <w:szCs w:val="20"/>
              </w:rPr>
              <w:t>d=</w:t>
            </w:r>
            <w:r>
              <w:rPr>
                <w:rFonts w:hint="eastAsia"/>
                <w:szCs w:val="20"/>
                <w:lang w:val="en-US" w:eastAsia="zh-CN"/>
              </w:rPr>
              <w:t>1.2</w:t>
            </w:r>
            <w:r>
              <w:rPr>
                <w:szCs w:val="20"/>
              </w:rPr>
              <w:t>m</w:t>
            </w:r>
            <w:r>
              <w:rPr>
                <w:rFonts w:hint="eastAsia"/>
                <w:szCs w:val="20"/>
              </w:rPr>
              <w:t>，</w:t>
            </w:r>
            <w:r>
              <w:rPr>
                <w:szCs w:val="20"/>
              </w:rPr>
              <w:t>S=</w:t>
            </w:r>
            <w:r>
              <w:rPr>
                <w:rFonts w:hint="eastAsia"/>
                <w:szCs w:val="20"/>
                <w:lang w:val="en-US" w:eastAsia="zh-CN"/>
              </w:rPr>
              <w:t>1.1304</w:t>
            </w:r>
            <w:r>
              <w:rPr>
                <w:szCs w:val="20"/>
              </w:rPr>
              <w:t>m</w:t>
            </w:r>
            <w:r>
              <w:rPr>
                <w:szCs w:val="20"/>
                <w:vertAlign w:val="superscript"/>
              </w:rPr>
              <w:t>2</w:t>
            </w:r>
          </w:p>
        </w:tc>
      </w:tr>
      <w:tr w14:paraId="64DB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49E24F5E">
            <w:pPr>
              <w:widowControl/>
              <w:spacing w:line="360" w:lineRule="exact"/>
              <w:rPr>
                <w:szCs w:val="28"/>
              </w:rPr>
            </w:pPr>
          </w:p>
        </w:tc>
        <w:tc>
          <w:tcPr>
            <w:tcW w:w="6115" w:type="dxa"/>
            <w:gridSpan w:val="6"/>
            <w:vAlign w:val="center"/>
          </w:tcPr>
          <w:p w14:paraId="7D9701DE">
            <w:pPr>
              <w:spacing w:line="360" w:lineRule="exact"/>
              <w:rPr>
                <w:szCs w:val="20"/>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5CB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2B2789E1">
            <w:pPr>
              <w:widowControl/>
              <w:spacing w:line="360" w:lineRule="exact"/>
              <w:rPr>
                <w:szCs w:val="28"/>
              </w:rPr>
            </w:pPr>
          </w:p>
        </w:tc>
        <w:tc>
          <w:tcPr>
            <w:tcW w:w="6115" w:type="dxa"/>
            <w:gridSpan w:val="6"/>
            <w:vAlign w:val="center"/>
          </w:tcPr>
          <w:p w14:paraId="0CEF5309">
            <w:pPr>
              <w:spacing w:line="360" w:lineRule="exact"/>
              <w:rPr>
                <w:szCs w:val="20"/>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szCs w:val="20"/>
              </w:rPr>
              <w:t>其他形状截面：</w:t>
            </w:r>
            <w:r>
              <w:rPr>
                <w:szCs w:val="20"/>
              </w:rPr>
              <w:t>S=    m</w:t>
            </w:r>
            <w:r>
              <w:rPr>
                <w:szCs w:val="20"/>
                <w:vertAlign w:val="superscript"/>
              </w:rPr>
              <w:t>2</w:t>
            </w:r>
          </w:p>
        </w:tc>
      </w:tr>
      <w:tr w14:paraId="4E63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536B374D">
            <w:pPr>
              <w:widowControl/>
              <w:spacing w:line="360" w:lineRule="exact"/>
              <w:rPr>
                <w:szCs w:val="20"/>
              </w:rPr>
            </w:pPr>
            <w:r>
              <w:rPr>
                <w:rFonts w:hint="eastAsia"/>
                <w:szCs w:val="21"/>
              </w:rPr>
              <w:t>入河排污口污水排放量，入河排污口重点污染物排放种类、排放浓度和排放量</w:t>
            </w:r>
          </w:p>
        </w:tc>
      </w:tr>
      <w:tr w14:paraId="3FF1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7075D750">
            <w:pPr>
              <w:widowControl/>
              <w:spacing w:line="360" w:lineRule="exact"/>
              <w:jc w:val="center"/>
              <w:rPr>
                <w:szCs w:val="20"/>
              </w:rPr>
            </w:pPr>
            <w:r>
              <w:rPr>
                <w:rFonts w:hint="eastAsia"/>
                <w:szCs w:val="20"/>
              </w:rPr>
              <w:t>污染物种类</w:t>
            </w:r>
          </w:p>
        </w:tc>
        <w:tc>
          <w:tcPr>
            <w:tcW w:w="1133" w:type="dxa"/>
            <w:vMerge w:val="restart"/>
            <w:vAlign w:val="center"/>
          </w:tcPr>
          <w:p w14:paraId="00FD804B">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2F811465">
            <w:pPr>
              <w:widowControl/>
              <w:spacing w:line="360" w:lineRule="exact"/>
              <w:jc w:val="center"/>
              <w:rPr>
                <w:szCs w:val="20"/>
              </w:rPr>
            </w:pPr>
            <w:r>
              <w:rPr>
                <w:rFonts w:hint="eastAsia"/>
                <w:szCs w:val="20"/>
              </w:rPr>
              <w:t>全年</w:t>
            </w:r>
          </w:p>
        </w:tc>
        <w:tc>
          <w:tcPr>
            <w:tcW w:w="2571" w:type="dxa"/>
            <w:gridSpan w:val="2"/>
            <w:vAlign w:val="center"/>
          </w:tcPr>
          <w:p w14:paraId="72717F70">
            <w:pPr>
              <w:widowControl/>
              <w:spacing w:line="360" w:lineRule="exact"/>
              <w:jc w:val="center"/>
              <w:rPr>
                <w:rFonts w:hint="eastAsia" w:eastAsia="宋体"/>
                <w:szCs w:val="20"/>
                <w:lang w:eastAsia="zh-CN"/>
              </w:rPr>
            </w:pPr>
            <w:r>
              <w:rPr>
                <w:rFonts w:hint="eastAsia"/>
                <w:szCs w:val="20"/>
              </w:rPr>
              <w:t>特殊时段</w:t>
            </w:r>
            <w:r>
              <w:rPr>
                <w:rFonts w:hint="eastAsia"/>
                <w:szCs w:val="20"/>
                <w:lang w:eastAsia="zh-CN"/>
              </w:rPr>
              <w:t>（</w:t>
            </w:r>
            <w:r>
              <w:rPr>
                <w:rFonts w:hint="eastAsia"/>
                <w:szCs w:val="20"/>
                <w:lang w:val="en-US" w:eastAsia="zh-CN"/>
              </w:rPr>
              <w:t>无</w:t>
            </w:r>
            <w:r>
              <w:rPr>
                <w:rFonts w:hint="eastAsia"/>
                <w:szCs w:val="20"/>
                <w:lang w:eastAsia="zh-CN"/>
              </w:rPr>
              <w:t>）</w:t>
            </w:r>
          </w:p>
        </w:tc>
      </w:tr>
      <w:tr w14:paraId="2171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5DC60037">
            <w:pPr>
              <w:spacing w:line="360" w:lineRule="exact"/>
              <w:rPr>
                <w:szCs w:val="20"/>
              </w:rPr>
            </w:pPr>
          </w:p>
        </w:tc>
        <w:tc>
          <w:tcPr>
            <w:tcW w:w="1133" w:type="dxa"/>
            <w:vMerge w:val="continue"/>
            <w:vAlign w:val="center"/>
          </w:tcPr>
          <w:p w14:paraId="7EDAF81D">
            <w:pPr>
              <w:widowControl/>
              <w:spacing w:line="360" w:lineRule="exact"/>
              <w:jc w:val="center"/>
              <w:rPr>
                <w:szCs w:val="20"/>
              </w:rPr>
            </w:pPr>
          </w:p>
        </w:tc>
        <w:tc>
          <w:tcPr>
            <w:tcW w:w="1277" w:type="dxa"/>
            <w:gridSpan w:val="2"/>
            <w:vAlign w:val="center"/>
          </w:tcPr>
          <w:p w14:paraId="41834EA6">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13925E8F">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6BAC2700">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1CF509BC">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4EF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1E36522A">
            <w:pPr>
              <w:widowControl/>
              <w:spacing w:line="360" w:lineRule="exact"/>
              <w:rPr>
                <w:szCs w:val="20"/>
              </w:rPr>
            </w:pPr>
            <w:r>
              <w:rPr>
                <w:rFonts w:hint="eastAsia"/>
                <w:szCs w:val="20"/>
              </w:rPr>
              <w:t>入河排污口合计</w:t>
            </w:r>
            <w:r>
              <w:rPr>
                <w:rFonts w:hint="eastAsia"/>
                <w:kern w:val="0"/>
                <w:szCs w:val="21"/>
              </w:rPr>
              <w:t>（单一责任主体只需记载此项）</w:t>
            </w:r>
          </w:p>
        </w:tc>
      </w:tr>
      <w:tr w14:paraId="5E1C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0DBCCFA">
            <w:pPr>
              <w:widowControl/>
              <w:spacing w:line="360" w:lineRule="exact"/>
              <w:jc w:val="center"/>
              <w:rPr>
                <w:szCs w:val="20"/>
              </w:rPr>
            </w:pPr>
            <w:r>
              <w:rPr>
                <w:szCs w:val="20"/>
              </w:rPr>
              <w:t>COD</w:t>
            </w:r>
          </w:p>
        </w:tc>
        <w:tc>
          <w:tcPr>
            <w:tcW w:w="1133" w:type="dxa"/>
            <w:vAlign w:val="center"/>
          </w:tcPr>
          <w:p w14:paraId="37D668D5">
            <w:pPr>
              <w:widowControl/>
              <w:spacing w:line="360" w:lineRule="exact"/>
              <w:jc w:val="center"/>
              <w:rPr>
                <w:rFonts w:hint="default" w:eastAsia="宋体"/>
                <w:szCs w:val="20"/>
                <w:lang w:val="en-US" w:eastAsia="zh-CN"/>
              </w:rPr>
            </w:pPr>
            <w:r>
              <w:rPr>
                <w:rFonts w:hint="eastAsia"/>
                <w:szCs w:val="20"/>
                <w:lang w:val="en-US" w:eastAsia="zh-CN"/>
              </w:rPr>
              <w:t>30</w:t>
            </w:r>
          </w:p>
        </w:tc>
        <w:tc>
          <w:tcPr>
            <w:tcW w:w="1277" w:type="dxa"/>
            <w:gridSpan w:val="2"/>
            <w:vMerge w:val="restart"/>
            <w:vAlign w:val="center"/>
          </w:tcPr>
          <w:p w14:paraId="4BB26C23">
            <w:pPr>
              <w:widowControl/>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1277.5</w:t>
            </w:r>
          </w:p>
        </w:tc>
        <w:tc>
          <w:tcPr>
            <w:tcW w:w="1134" w:type="dxa"/>
            <w:vAlign w:val="center"/>
          </w:tcPr>
          <w:p w14:paraId="19FC6372">
            <w:pPr>
              <w:widowControl/>
              <w:spacing w:line="360" w:lineRule="exact"/>
              <w:jc w:val="center"/>
              <w:rPr>
                <w:rFonts w:hint="eastAsia"/>
                <w:szCs w:val="20"/>
                <w:lang w:val="en-US" w:eastAsia="zh-CN"/>
              </w:rPr>
            </w:pPr>
            <w:r>
              <w:rPr>
                <w:rFonts w:hint="eastAsia"/>
                <w:szCs w:val="20"/>
                <w:lang w:val="en-US" w:eastAsia="zh-CN"/>
              </w:rPr>
              <w:t>383.25</w:t>
            </w:r>
          </w:p>
        </w:tc>
        <w:tc>
          <w:tcPr>
            <w:tcW w:w="1418" w:type="dxa"/>
            <w:vMerge w:val="restart"/>
            <w:vAlign w:val="center"/>
          </w:tcPr>
          <w:p w14:paraId="52A3277A">
            <w:pPr>
              <w:widowControl/>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c>
          <w:tcPr>
            <w:tcW w:w="1153" w:type="dxa"/>
            <w:vAlign w:val="center"/>
          </w:tcPr>
          <w:p w14:paraId="364A9777">
            <w:pPr>
              <w:widowControl/>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14:paraId="356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4E7C62F">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52EE580D">
            <w:pPr>
              <w:widowControl/>
              <w:spacing w:line="360" w:lineRule="exact"/>
              <w:jc w:val="center"/>
              <w:rPr>
                <w:rFonts w:hint="default" w:eastAsia="宋体"/>
                <w:szCs w:val="20"/>
                <w:lang w:val="en-US" w:eastAsia="zh-CN"/>
              </w:rPr>
            </w:pPr>
            <w:r>
              <w:rPr>
                <w:rFonts w:hint="eastAsia"/>
                <w:szCs w:val="20"/>
                <w:lang w:val="en-US" w:eastAsia="zh-CN"/>
              </w:rPr>
              <w:t>1.5</w:t>
            </w:r>
          </w:p>
        </w:tc>
        <w:tc>
          <w:tcPr>
            <w:tcW w:w="1277" w:type="dxa"/>
            <w:gridSpan w:val="2"/>
            <w:vMerge w:val="continue"/>
            <w:vAlign w:val="center"/>
          </w:tcPr>
          <w:p w14:paraId="129DD7EB">
            <w:pPr>
              <w:widowControl/>
              <w:spacing w:line="360" w:lineRule="exact"/>
              <w:jc w:val="center"/>
              <w:rPr>
                <w:rFonts w:hint="eastAsia" w:ascii="Times New Roman" w:hAnsi="Times New Roman" w:eastAsia="宋体" w:cs="Times New Roman"/>
                <w:szCs w:val="20"/>
                <w:lang w:val="en-US" w:eastAsia="zh-CN"/>
              </w:rPr>
            </w:pPr>
          </w:p>
        </w:tc>
        <w:tc>
          <w:tcPr>
            <w:tcW w:w="1134" w:type="dxa"/>
            <w:vAlign w:val="center"/>
          </w:tcPr>
          <w:p w14:paraId="141A135E">
            <w:pPr>
              <w:widowControl/>
              <w:spacing w:line="360" w:lineRule="exact"/>
              <w:jc w:val="center"/>
              <w:rPr>
                <w:rFonts w:hint="eastAsia"/>
                <w:szCs w:val="20"/>
                <w:lang w:val="en-US" w:eastAsia="zh-CN"/>
              </w:rPr>
            </w:pPr>
            <w:r>
              <w:rPr>
                <w:rFonts w:hint="eastAsia"/>
                <w:szCs w:val="20"/>
                <w:lang w:val="en-US" w:eastAsia="zh-CN"/>
              </w:rPr>
              <w:t>19.1625</w:t>
            </w:r>
          </w:p>
        </w:tc>
        <w:tc>
          <w:tcPr>
            <w:tcW w:w="1418" w:type="dxa"/>
            <w:vMerge w:val="continue"/>
            <w:vAlign w:val="center"/>
          </w:tcPr>
          <w:p w14:paraId="1B0CAC47">
            <w:pPr>
              <w:widowControl/>
              <w:spacing w:line="360" w:lineRule="exact"/>
              <w:jc w:val="center"/>
              <w:rPr>
                <w:rFonts w:hint="eastAsia" w:ascii="Times New Roman" w:hAnsi="Times New Roman" w:eastAsia="宋体" w:cs="Times New Roman"/>
                <w:szCs w:val="20"/>
                <w:lang w:val="en-US" w:eastAsia="zh-CN"/>
              </w:rPr>
            </w:pPr>
          </w:p>
        </w:tc>
        <w:tc>
          <w:tcPr>
            <w:tcW w:w="1153" w:type="dxa"/>
            <w:vAlign w:val="center"/>
          </w:tcPr>
          <w:p w14:paraId="63A6DFF7">
            <w:pPr>
              <w:widowControl/>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14:paraId="537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32371B3">
            <w:pPr>
              <w:widowControl/>
              <w:spacing w:line="360" w:lineRule="exact"/>
              <w:jc w:val="center"/>
              <w:rPr>
                <w:szCs w:val="20"/>
              </w:rPr>
            </w:pPr>
            <w:r>
              <w:rPr>
                <w:rFonts w:hint="eastAsia"/>
                <w:szCs w:val="20"/>
              </w:rPr>
              <w:t>T</w:t>
            </w:r>
            <w:r>
              <w:rPr>
                <w:szCs w:val="20"/>
              </w:rPr>
              <w:t>N</w:t>
            </w:r>
          </w:p>
        </w:tc>
        <w:tc>
          <w:tcPr>
            <w:tcW w:w="1133" w:type="dxa"/>
            <w:vAlign w:val="center"/>
          </w:tcPr>
          <w:p w14:paraId="7BDABF54">
            <w:pPr>
              <w:widowControl/>
              <w:spacing w:line="360" w:lineRule="exact"/>
              <w:jc w:val="center"/>
              <w:rPr>
                <w:rFonts w:hint="default" w:eastAsia="宋体"/>
                <w:szCs w:val="20"/>
                <w:lang w:val="en-US" w:eastAsia="zh-CN"/>
              </w:rPr>
            </w:pPr>
            <w:r>
              <w:rPr>
                <w:rFonts w:hint="eastAsia"/>
                <w:szCs w:val="20"/>
                <w:lang w:val="en-US" w:eastAsia="zh-CN"/>
              </w:rPr>
              <w:t>15</w:t>
            </w:r>
          </w:p>
        </w:tc>
        <w:tc>
          <w:tcPr>
            <w:tcW w:w="1277" w:type="dxa"/>
            <w:gridSpan w:val="2"/>
            <w:vMerge w:val="continue"/>
            <w:vAlign w:val="center"/>
          </w:tcPr>
          <w:p w14:paraId="74D469C2">
            <w:pPr>
              <w:widowControl/>
              <w:spacing w:line="360" w:lineRule="exact"/>
              <w:jc w:val="center"/>
              <w:rPr>
                <w:rFonts w:hint="eastAsia" w:ascii="Times New Roman" w:hAnsi="Times New Roman" w:eastAsia="宋体" w:cs="Times New Roman"/>
                <w:szCs w:val="20"/>
                <w:lang w:val="en-US" w:eastAsia="zh-CN"/>
              </w:rPr>
            </w:pPr>
          </w:p>
        </w:tc>
        <w:tc>
          <w:tcPr>
            <w:tcW w:w="1134" w:type="dxa"/>
            <w:vAlign w:val="center"/>
          </w:tcPr>
          <w:p w14:paraId="49A778E4">
            <w:pPr>
              <w:widowControl/>
              <w:spacing w:line="360" w:lineRule="exact"/>
              <w:jc w:val="center"/>
              <w:rPr>
                <w:rFonts w:hint="eastAsia"/>
                <w:szCs w:val="20"/>
                <w:lang w:val="en-US" w:eastAsia="zh-CN"/>
              </w:rPr>
            </w:pPr>
            <w:r>
              <w:rPr>
                <w:rFonts w:hint="eastAsia"/>
                <w:szCs w:val="20"/>
                <w:lang w:val="en-US" w:eastAsia="zh-CN"/>
              </w:rPr>
              <w:t>191.625</w:t>
            </w:r>
          </w:p>
        </w:tc>
        <w:tc>
          <w:tcPr>
            <w:tcW w:w="1418" w:type="dxa"/>
            <w:vMerge w:val="continue"/>
            <w:vAlign w:val="center"/>
          </w:tcPr>
          <w:p w14:paraId="6533A7BF">
            <w:pPr>
              <w:widowControl/>
              <w:spacing w:line="360" w:lineRule="exact"/>
              <w:jc w:val="center"/>
              <w:rPr>
                <w:rFonts w:hint="eastAsia" w:ascii="Times New Roman" w:hAnsi="Times New Roman" w:eastAsia="宋体" w:cs="Times New Roman"/>
                <w:szCs w:val="20"/>
                <w:lang w:val="en-US" w:eastAsia="zh-CN"/>
              </w:rPr>
            </w:pPr>
          </w:p>
        </w:tc>
        <w:tc>
          <w:tcPr>
            <w:tcW w:w="1153" w:type="dxa"/>
            <w:vAlign w:val="center"/>
          </w:tcPr>
          <w:p w14:paraId="4B1973D4">
            <w:pPr>
              <w:widowControl/>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14:paraId="5029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E6CE76F">
            <w:pPr>
              <w:widowControl/>
              <w:spacing w:line="360" w:lineRule="exact"/>
              <w:jc w:val="center"/>
              <w:rPr>
                <w:szCs w:val="20"/>
              </w:rPr>
            </w:pPr>
            <w:r>
              <w:rPr>
                <w:rFonts w:hint="eastAsia"/>
                <w:szCs w:val="20"/>
              </w:rPr>
              <w:t>T</w:t>
            </w:r>
            <w:r>
              <w:rPr>
                <w:szCs w:val="20"/>
              </w:rPr>
              <w:t>P</w:t>
            </w:r>
          </w:p>
        </w:tc>
        <w:tc>
          <w:tcPr>
            <w:tcW w:w="1133" w:type="dxa"/>
            <w:vAlign w:val="center"/>
          </w:tcPr>
          <w:p w14:paraId="7D60B7E1">
            <w:pPr>
              <w:widowControl/>
              <w:spacing w:line="360" w:lineRule="exact"/>
              <w:jc w:val="center"/>
              <w:rPr>
                <w:rFonts w:hint="default" w:eastAsia="宋体"/>
                <w:szCs w:val="20"/>
                <w:lang w:val="en-US" w:eastAsia="zh-CN"/>
              </w:rPr>
            </w:pPr>
            <w:r>
              <w:rPr>
                <w:rFonts w:hint="eastAsia"/>
                <w:szCs w:val="20"/>
                <w:lang w:val="en-US" w:eastAsia="zh-CN"/>
              </w:rPr>
              <w:t>0.3</w:t>
            </w:r>
          </w:p>
        </w:tc>
        <w:tc>
          <w:tcPr>
            <w:tcW w:w="1277" w:type="dxa"/>
            <w:gridSpan w:val="2"/>
            <w:vMerge w:val="continue"/>
            <w:vAlign w:val="center"/>
          </w:tcPr>
          <w:p w14:paraId="2F609228">
            <w:pPr>
              <w:widowControl/>
              <w:spacing w:line="360" w:lineRule="exact"/>
              <w:jc w:val="center"/>
              <w:rPr>
                <w:rFonts w:hint="eastAsia" w:ascii="Times New Roman" w:hAnsi="Times New Roman" w:eastAsia="宋体" w:cs="Times New Roman"/>
                <w:szCs w:val="20"/>
                <w:lang w:val="en-US" w:eastAsia="zh-CN"/>
              </w:rPr>
            </w:pPr>
          </w:p>
        </w:tc>
        <w:tc>
          <w:tcPr>
            <w:tcW w:w="1134" w:type="dxa"/>
            <w:vAlign w:val="center"/>
          </w:tcPr>
          <w:p w14:paraId="663365AF">
            <w:pPr>
              <w:widowControl/>
              <w:spacing w:line="360" w:lineRule="exact"/>
              <w:jc w:val="center"/>
              <w:rPr>
                <w:rFonts w:hint="eastAsia"/>
                <w:szCs w:val="20"/>
                <w:lang w:val="en-US" w:eastAsia="zh-CN"/>
              </w:rPr>
            </w:pPr>
            <w:r>
              <w:rPr>
                <w:rFonts w:hint="eastAsia"/>
                <w:szCs w:val="20"/>
                <w:lang w:val="en-US" w:eastAsia="zh-CN"/>
              </w:rPr>
              <w:t>3.8325</w:t>
            </w:r>
          </w:p>
        </w:tc>
        <w:tc>
          <w:tcPr>
            <w:tcW w:w="1418" w:type="dxa"/>
            <w:vMerge w:val="continue"/>
            <w:vAlign w:val="center"/>
          </w:tcPr>
          <w:p w14:paraId="20DBBF41">
            <w:pPr>
              <w:widowControl/>
              <w:spacing w:line="360" w:lineRule="exact"/>
              <w:jc w:val="center"/>
              <w:rPr>
                <w:rFonts w:hint="eastAsia" w:ascii="Times New Roman" w:hAnsi="Times New Roman" w:eastAsia="宋体" w:cs="Times New Roman"/>
                <w:szCs w:val="20"/>
                <w:lang w:val="en-US" w:eastAsia="zh-CN"/>
              </w:rPr>
            </w:pPr>
          </w:p>
        </w:tc>
        <w:tc>
          <w:tcPr>
            <w:tcW w:w="1153" w:type="dxa"/>
            <w:vAlign w:val="center"/>
          </w:tcPr>
          <w:p w14:paraId="7AF75FBF">
            <w:pPr>
              <w:widowControl/>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14:paraId="0D82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12C8F1E9">
            <w:pPr>
              <w:widowControl/>
              <w:snapToGrid w:val="0"/>
              <w:spacing w:line="360" w:lineRule="exact"/>
              <w:rPr>
                <w:szCs w:val="20"/>
              </w:rPr>
            </w:pPr>
            <w:r>
              <w:rPr>
                <w:rFonts w:hint="eastAsia"/>
                <w:szCs w:val="20"/>
              </w:rPr>
              <w:t>信息公开要求：</w:t>
            </w:r>
          </w:p>
          <w:p w14:paraId="011397F3">
            <w:pPr>
              <w:pStyle w:val="10"/>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u w:val="single"/>
                <w:lang w:eastAsia="zh-CN"/>
              </w:rPr>
              <w:t>名称、编码、类型、责任主体、管理单位和监督电话</w:t>
            </w:r>
            <w:r>
              <w:rPr>
                <w:rFonts w:hint="eastAsia" w:ascii="Times New Roman" w:hAnsi="Times New Roman" w:eastAsia="宋体"/>
                <w:kern w:val="2"/>
                <w:sz w:val="21"/>
                <w:szCs w:val="22"/>
                <w:lang w:eastAsia="zh-CN"/>
              </w:rPr>
              <w:t>等信息应以</w:t>
            </w:r>
            <w:r>
              <w:rPr>
                <w:rFonts w:hint="eastAsia"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kern w:val="2"/>
                <w:sz w:val="21"/>
                <w:szCs w:val="22"/>
                <w:lang w:eastAsia="zh-CN"/>
              </w:rPr>
              <w:t>标识牌</w:t>
            </w:r>
            <w:r>
              <w:rPr>
                <w:rFonts w:hint="eastAsia"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kern w:val="2"/>
                <w:sz w:val="21"/>
                <w:szCs w:val="22"/>
                <w:lang w:eastAsia="zh-CN"/>
              </w:rPr>
              <w:t>/二维码/</w:t>
            </w:r>
            <w:r>
              <w:rPr>
                <w:rFonts w:hint="eastAsia"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kern w:val="2"/>
                <w:sz w:val="21"/>
                <w:szCs w:val="22"/>
                <w:lang w:eastAsia="zh-CN"/>
              </w:rPr>
              <w:t>显示屏等方式在入河排污口处信息公开。</w:t>
            </w:r>
          </w:p>
        </w:tc>
      </w:tr>
      <w:tr w14:paraId="0CF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736CA4E2">
            <w:pPr>
              <w:widowControl/>
              <w:snapToGrid w:val="0"/>
              <w:spacing w:line="360" w:lineRule="exact"/>
              <w:rPr>
                <w:szCs w:val="20"/>
              </w:rPr>
            </w:pPr>
            <w:r>
              <w:rPr>
                <w:rFonts w:hint="eastAsia"/>
                <w:szCs w:val="20"/>
              </w:rPr>
              <w:t>水污染事故应急处理预案以及环境风险防范措施：</w:t>
            </w:r>
          </w:p>
          <w:p w14:paraId="26511E63">
            <w:pPr>
              <w:snapToGrid w:val="0"/>
              <w:spacing w:line="360" w:lineRule="exact"/>
              <w:ind w:firstLine="420" w:firstLineChars="200"/>
            </w:pPr>
            <w:r>
              <w:rPr>
                <w:rFonts w:hint="eastAsia"/>
              </w:rPr>
              <w:t>该入河排污口对应的责任主体</w:t>
            </w:r>
            <w:r>
              <w:rPr>
                <w:rFonts w:hint="eastAsia"/>
                <w:u w:val="single"/>
              </w:rPr>
              <w:t>三亚</w:t>
            </w:r>
            <w:r>
              <w:rPr>
                <w:rFonts w:hint="eastAsia"/>
                <w:u w:val="single"/>
                <w:lang w:eastAsia="zh-CN"/>
              </w:rPr>
              <w:t>市创意新城污水处理有限公司创意分</w:t>
            </w:r>
            <w:r>
              <w:rPr>
                <w:rFonts w:hint="eastAsia"/>
                <w:u w:val="single"/>
                <w:lang w:val="en-US" w:eastAsia="zh-CN"/>
              </w:rPr>
              <w:t>公司</w:t>
            </w:r>
            <w:r>
              <w:rPr>
                <w:rFonts w:hint="eastAsia"/>
              </w:rPr>
              <w:t>应当按照排污单位有关要求，做好污染事故应急处理预案、环境风险防范及应急处置措施，具体包括：</w:t>
            </w:r>
            <w:r>
              <w:rPr>
                <w:rFonts w:hint="eastAsia"/>
                <w:u w:val="single"/>
              </w:rPr>
              <w:t>按要求设置尾水在线监控设备、污水处理设施关键设备一用一备、成立应急工作领导小组、定期开展应急演练、编制应急预案等。</w:t>
            </w:r>
          </w:p>
        </w:tc>
      </w:tr>
      <w:tr w14:paraId="392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659D4971">
            <w:pPr>
              <w:pStyle w:val="10"/>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1A275330">
            <w:pPr>
              <w:pStyle w:val="10"/>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w:t>
            </w:r>
            <w:r>
              <w:rPr>
                <w:rFonts w:hint="eastAsia" w:ascii="Times New Roman" w:hAnsi="Times New Roman" w:eastAsia="宋体"/>
                <w:kern w:val="2"/>
                <w:sz w:val="21"/>
                <w:szCs w:val="22"/>
                <w:u w:val="single"/>
                <w:lang w:val="en-US" w:eastAsia="zh-CN"/>
              </w:rPr>
              <w:t>加强排放口水质自动监测，建立企业的事故报告制度</w:t>
            </w:r>
            <w:r>
              <w:rPr>
                <w:rFonts w:hint="eastAsia" w:ascii="Times New Roman" w:hAnsi="Times New Roman" w:eastAsia="宋体"/>
                <w:kern w:val="2"/>
                <w:sz w:val="21"/>
                <w:szCs w:val="22"/>
                <w:u w:val="single"/>
                <w:lang w:eastAsia="zh-CN"/>
              </w:rPr>
              <w:t>，</w:t>
            </w:r>
            <w:r>
              <w:rPr>
                <w:rFonts w:hint="eastAsia" w:ascii="Times New Roman" w:hAnsi="Times New Roman" w:eastAsia="宋体"/>
                <w:kern w:val="2"/>
                <w:sz w:val="21"/>
                <w:szCs w:val="22"/>
                <w:u w:val="single"/>
                <w:lang w:val="en-US" w:eastAsia="zh-CN"/>
              </w:rPr>
              <w:t>施工过程中确定工程质量，做好污水输送管道的防渗措施，</w:t>
            </w:r>
            <w:r>
              <w:rPr>
                <w:rFonts w:hint="eastAsia" w:ascii="Times New Roman" w:hAnsi="Times New Roman" w:eastAsia="宋体"/>
                <w:kern w:val="2"/>
                <w:sz w:val="21"/>
                <w:szCs w:val="22"/>
                <w:u w:val="single"/>
                <w:lang w:eastAsia="zh-CN"/>
              </w:rPr>
              <w:t>建设单位应委托专业单位编制项目突发环境事件应急预案，</w:t>
            </w:r>
            <w:r>
              <w:rPr>
                <w:rFonts w:hint="eastAsia" w:ascii="Times New Roman" w:hAnsi="Times New Roman" w:eastAsia="宋体"/>
                <w:kern w:val="2"/>
                <w:sz w:val="21"/>
                <w:szCs w:val="22"/>
                <w:u w:val="single"/>
                <w:lang w:val="en-US" w:eastAsia="zh-CN"/>
              </w:rPr>
              <w:t>在暴雨前预先对各设备进行检查，确保污水处理量不超过污水处理厂设计处理能力。</w:t>
            </w:r>
          </w:p>
        </w:tc>
      </w:tr>
      <w:tr w14:paraId="2E84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1364114A">
            <w:pPr>
              <w:widowControl/>
              <w:snapToGrid w:val="0"/>
              <w:spacing w:line="360" w:lineRule="exact"/>
              <w:rPr>
                <w:kern w:val="0"/>
                <w:szCs w:val="21"/>
              </w:rPr>
            </w:pPr>
            <w:r>
              <w:rPr>
                <w:rFonts w:hint="eastAsia"/>
                <w:kern w:val="0"/>
                <w:szCs w:val="21"/>
              </w:rPr>
              <w:t>其他需要注意的事项：</w:t>
            </w:r>
          </w:p>
          <w:p w14:paraId="69013BCE">
            <w:pPr>
              <w:pStyle w:val="10"/>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55B132CF">
            <w:pPr>
              <w:pStyle w:val="10"/>
              <w:widowControl/>
              <w:snapToGrid w:val="0"/>
              <w:spacing w:line="360" w:lineRule="exact"/>
              <w:ind w:left="0" w:firstLine="420" w:firstLineChars="200"/>
              <w:rPr>
                <w:rFonts w:hint="eastAsia"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二）入河排污口责任主体应做好污水处理设施运行管理，避免或减轻事故性排放造成的影响，确保入河排污口按要求排放。当受纳水体发生突发水污染事件或水质严重恶化时，应按照管理部门要求，采取措施减少入河排污量；</w:t>
            </w:r>
          </w:p>
          <w:p w14:paraId="43044480">
            <w:pPr>
              <w:pStyle w:val="10"/>
              <w:widowControl/>
              <w:snapToGrid w:val="0"/>
              <w:spacing w:line="360" w:lineRule="exact"/>
              <w:ind w:left="0" w:firstLine="420" w:firstLineChars="200"/>
              <w:rPr>
                <w:rFonts w:hint="default"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w:t>
            </w:r>
            <w:r>
              <w:rPr>
                <w:rFonts w:hint="eastAsia" w:ascii="Times New Roman" w:hAnsi="Times New Roman" w:eastAsia="宋体"/>
                <w:kern w:val="2"/>
                <w:sz w:val="21"/>
                <w:szCs w:val="22"/>
                <w:lang w:val="en-US" w:eastAsia="zh-CN"/>
              </w:rPr>
              <w:t>三</w:t>
            </w:r>
            <w:r>
              <w:rPr>
                <w:rFonts w:hint="eastAsia" w:ascii="Times New Roman" w:hAnsi="Times New Roman" w:eastAsia="宋体"/>
                <w:kern w:val="2"/>
                <w:sz w:val="21"/>
                <w:szCs w:val="22"/>
                <w:lang w:eastAsia="zh-CN"/>
              </w:rPr>
              <w:t>）该入河排污口设置经批准后，若项目的性质、规模发生变动，致使通过该排污口排放的废污水量、污染物质种类和污染物量有变化的，应当重新对入河排污口设置进行论证报批。</w:t>
            </w:r>
          </w:p>
          <w:p w14:paraId="3A9DD825">
            <w:pPr>
              <w:snapToGrid w:val="0"/>
              <w:spacing w:line="360" w:lineRule="exact"/>
              <w:ind w:firstLine="420" w:firstLineChars="200"/>
            </w:pPr>
          </w:p>
        </w:tc>
      </w:tr>
    </w:tbl>
    <w:p w14:paraId="60154EAA">
      <w:pPr>
        <w:pStyle w:val="10"/>
        <w:adjustRightInd w:val="0"/>
        <w:spacing w:before="0" w:line="360" w:lineRule="exact"/>
        <w:ind w:right="107" w:firstLine="600"/>
        <w:jc w:val="right"/>
        <w:rPr>
          <w:rFonts w:ascii="宋体" w:hAnsi="宋体" w:eastAsia="宋体"/>
          <w:spacing w:val="-5"/>
          <w:sz w:val="30"/>
          <w:szCs w:val="30"/>
          <w:lang w:eastAsia="zh-CN"/>
        </w:rPr>
      </w:pPr>
      <w:r>
        <w:rPr>
          <w:rFonts w:hint="eastAsia" w:ascii="宋体" w:hAnsi="宋体" w:eastAsia="宋体"/>
          <w:spacing w:val="-5"/>
          <w:sz w:val="30"/>
          <w:szCs w:val="30"/>
          <w:lang w:val="en-US" w:eastAsia="zh-CN"/>
        </w:rPr>
        <w:t xml:space="preserve">  </w:t>
      </w:r>
      <w:r>
        <w:rPr>
          <w:rFonts w:hint="default" w:ascii="宋体" w:hAnsi="宋体" w:eastAsia="宋体"/>
          <w:spacing w:val="-5"/>
          <w:sz w:val="30"/>
          <w:szCs w:val="30"/>
          <w:lang w:eastAsia="zh-CN"/>
        </w:rPr>
        <w:t>三亚崖州湾科技城管理局</w:t>
      </w:r>
    </w:p>
    <w:p w14:paraId="4363DC26">
      <w:pPr>
        <w:pStyle w:val="10"/>
        <w:spacing w:before="0" w:line="360" w:lineRule="exact"/>
        <w:jc w:val="right"/>
        <w:rPr>
          <w:sz w:val="30"/>
          <w:szCs w:val="30"/>
          <w:lang w:eastAsia="zh-CN"/>
        </w:rPr>
      </w:pPr>
      <w:r>
        <w:rPr>
          <w:rFonts w:hint="eastAsia" w:ascii="宋体" w:hAnsi="宋体" w:eastAsia="宋体"/>
          <w:sz w:val="30"/>
          <w:szCs w:val="30"/>
          <w:lang w:val="en-US" w:eastAsia="zh-CN"/>
        </w:rPr>
        <w:t>2025</w:t>
      </w:r>
      <w:r>
        <w:rPr>
          <w:rFonts w:ascii="宋体" w:hAnsi="宋体" w:eastAsia="宋体"/>
          <w:sz w:val="30"/>
          <w:szCs w:val="30"/>
          <w:lang w:eastAsia="zh-CN"/>
        </w:rPr>
        <w:t>年</w:t>
      </w:r>
      <w:r>
        <w:rPr>
          <w:rFonts w:hint="eastAsia" w:ascii="宋体" w:hAnsi="宋体" w:eastAsia="宋体"/>
          <w:sz w:val="30"/>
          <w:szCs w:val="30"/>
          <w:lang w:val="en-US" w:eastAsia="zh-CN"/>
        </w:rPr>
        <w:t>05</w:t>
      </w:r>
      <w:r>
        <w:rPr>
          <w:rFonts w:ascii="宋体" w:hAnsi="宋体" w:eastAsia="宋体"/>
          <w:sz w:val="30"/>
          <w:szCs w:val="30"/>
          <w:lang w:eastAsia="zh-CN"/>
        </w:rPr>
        <w:t>月</w:t>
      </w:r>
      <w:r>
        <w:rPr>
          <w:rFonts w:hint="eastAsia" w:ascii="宋体" w:hAnsi="宋体" w:eastAsia="宋体"/>
          <w:sz w:val="30"/>
          <w:szCs w:val="30"/>
          <w:lang w:val="en-US" w:eastAsia="zh-CN"/>
        </w:rPr>
        <w:t>20</w:t>
      </w:r>
      <w:r>
        <w:rPr>
          <w:rFonts w:ascii="宋体" w:hAnsi="宋体" w:eastAsia="宋体"/>
          <w:sz w:val="30"/>
          <w:szCs w:val="30"/>
          <w:lang w:eastAsia="zh-CN"/>
        </w:rPr>
        <w:t>日</w:t>
      </w:r>
    </w:p>
    <w:p w14:paraId="7FFF05C4">
      <w:pPr>
        <w:topLinePunct/>
        <w:adjustRightInd w:val="0"/>
        <w:spacing w:line="360" w:lineRule="exact"/>
        <w:jc w:val="right"/>
        <w:outlineLvl w:val="0"/>
        <w:rPr>
          <w:rFonts w:ascii="黑体" w:hAnsi="黑体" w:eastAsia="黑体"/>
          <w:color w:val="000000" w:themeColor="text1"/>
          <w:kern w:val="44"/>
          <w:sz w:val="30"/>
          <w:szCs w:val="30"/>
          <w14:textFill>
            <w14:solidFill>
              <w14:schemeClr w14:val="tx1"/>
            </w14:solidFill>
          </w14:textFill>
        </w:rPr>
        <w:sectPr>
          <w:footerReference r:id="rId3" w:type="default"/>
          <w:pgSz w:w="11906" w:h="16838"/>
          <w:pgMar w:top="1276" w:right="1797" w:bottom="1440" w:left="1797" w:header="851" w:footer="992" w:gutter="0"/>
          <w:cols w:space="720" w:num="1"/>
          <w:docGrid w:type="linesAndChars" w:linePitch="312" w:charSpace="0"/>
        </w:sectPr>
      </w:pPr>
    </w:p>
    <w:p w14:paraId="25A0D01A">
      <w:pPr>
        <w:spacing w:line="360" w:lineRule="exact"/>
        <w:jc w:val="center"/>
        <w:rPr>
          <w:b/>
          <w:bCs/>
          <w:szCs w:val="21"/>
        </w:rPr>
      </w:pPr>
      <w:r>
        <w:rPr>
          <w:rFonts w:hint="eastAsia"/>
          <w:b/>
          <w:bCs/>
          <w:szCs w:val="21"/>
        </w:rPr>
        <w:t>填写说明</w:t>
      </w:r>
    </w:p>
    <w:p w14:paraId="255C3044">
      <w:pPr>
        <w:pStyle w:val="10"/>
        <w:spacing w:before="0" w:line="360" w:lineRule="exact"/>
        <w:jc w:val="both"/>
        <w:rPr>
          <w:rFonts w:ascii="Times New Roman" w:hAnsi="Times New Roman" w:eastAsia="宋体"/>
          <w:kern w:val="2"/>
          <w:sz w:val="21"/>
          <w:szCs w:val="21"/>
          <w:lang w:eastAsia="zh-CN"/>
        </w:rPr>
      </w:pPr>
    </w:p>
    <w:p w14:paraId="1F97C3B5">
      <w:pPr>
        <w:pStyle w:val="81"/>
        <w:widowControl/>
        <w:numPr>
          <w:ilvl w:val="0"/>
          <w:numId w:val="1"/>
        </w:numPr>
        <w:spacing w:line="360" w:lineRule="exact"/>
        <w:ind w:left="-141" w:leftChars="-67" w:firstLine="0" w:firstLineChars="0"/>
        <w:rPr>
          <w:szCs w:val="21"/>
        </w:rPr>
      </w:pPr>
      <w:r>
        <w:rPr>
          <w:rFonts w:hint="eastAsia"/>
          <w:szCs w:val="21"/>
        </w:rPr>
        <w:t>“入河排污口类型”：依据</w:t>
      </w:r>
      <w:r>
        <w:rPr>
          <w:szCs w:val="21"/>
        </w:rPr>
        <w:t>HJ 1312</w:t>
      </w:r>
      <w:r>
        <w:rPr>
          <w:rFonts w:hint="eastAsia"/>
          <w:szCs w:val="21"/>
        </w:rPr>
        <w:t>勾选。</w:t>
      </w:r>
    </w:p>
    <w:p w14:paraId="5880DB02">
      <w:pPr>
        <w:pStyle w:val="81"/>
        <w:widowControl/>
        <w:numPr>
          <w:ilvl w:val="0"/>
          <w:numId w:val="1"/>
        </w:numPr>
        <w:spacing w:line="360" w:lineRule="exact"/>
        <w:ind w:left="-141" w:leftChars="-67" w:firstLine="0" w:firstLineChars="0"/>
        <w:rPr>
          <w:szCs w:val="21"/>
        </w:rPr>
      </w:pPr>
      <w:r>
        <w:rPr>
          <w:rFonts w:hint="eastAsia"/>
          <w:szCs w:val="21"/>
        </w:rPr>
        <w:t xml:space="preserve"> “入河排污口名称”“入河排污口编码”：按照</w:t>
      </w:r>
      <w:r>
        <w:rPr>
          <w:szCs w:val="21"/>
        </w:rPr>
        <w:t>HJ 1235</w:t>
      </w:r>
      <w:r>
        <w:rPr>
          <w:rFonts w:hint="eastAsia"/>
          <w:szCs w:val="21"/>
        </w:rPr>
        <w:t>规定记载。改设、扩大或者因其他情形入河排污口已有名称、编码且符合</w:t>
      </w:r>
      <w:r>
        <w:rPr>
          <w:szCs w:val="21"/>
        </w:rPr>
        <w:t>HJ 1235</w:t>
      </w:r>
      <w:r>
        <w:rPr>
          <w:rFonts w:hint="eastAsia"/>
          <w:szCs w:val="21"/>
        </w:rPr>
        <w:t>规定的，按照已有名称、编码记载。</w:t>
      </w:r>
    </w:p>
    <w:p w14:paraId="5FFD9B1A">
      <w:pPr>
        <w:pStyle w:val="81"/>
        <w:widowControl/>
        <w:numPr>
          <w:ilvl w:val="0"/>
          <w:numId w:val="1"/>
        </w:numPr>
        <w:spacing w:line="360" w:lineRule="exact"/>
        <w:ind w:left="-141" w:leftChars="-67" w:firstLine="0" w:firstLineChars="0"/>
        <w:rPr>
          <w:szCs w:val="21"/>
        </w:rPr>
      </w:pPr>
      <w:r>
        <w:rPr>
          <w:rFonts w:hint="eastAsia"/>
          <w:szCs w:val="21"/>
        </w:rPr>
        <w:t>“设置类型”：根据实际情况勾选。新设，是指入河排污口的首次建造或者使用；改设，是指已有入河排污口的排放位置、排放方式等事项的重大改变；扩大，是指已有入河排污口排污能力的提高。</w:t>
      </w:r>
    </w:p>
    <w:p w14:paraId="2D2DAFC3">
      <w:pPr>
        <w:pStyle w:val="81"/>
        <w:widowControl/>
        <w:numPr>
          <w:ilvl w:val="0"/>
          <w:numId w:val="1"/>
        </w:numPr>
        <w:spacing w:line="360" w:lineRule="exact"/>
        <w:ind w:left="-141" w:leftChars="-67" w:firstLine="0" w:firstLineChars="0"/>
        <w:rPr>
          <w:szCs w:val="21"/>
        </w:rPr>
      </w:pPr>
      <w:r>
        <w:rPr>
          <w:rFonts w:hint="eastAsia"/>
          <w:szCs w:val="21"/>
        </w:rPr>
        <w:t>“责任主体基本情况”“入河排污口污水排放量，入河排污口重点污染物排放种类、排放浓度和排放量”：多个排污单位共用同一入河排污口的，应记载使用该入河排污口的所有责任主体及相关信息。</w:t>
      </w:r>
    </w:p>
    <w:p w14:paraId="65DC4778">
      <w:pPr>
        <w:pStyle w:val="81"/>
        <w:widowControl/>
        <w:numPr>
          <w:ilvl w:val="0"/>
          <w:numId w:val="1"/>
        </w:numPr>
        <w:spacing w:line="360" w:lineRule="exact"/>
        <w:ind w:left="-141" w:leftChars="-67" w:firstLine="0" w:firstLineChars="0"/>
        <w:rPr>
          <w:szCs w:val="21"/>
        </w:rPr>
      </w:pPr>
      <w:r>
        <w:rPr>
          <w:rFonts w:hint="eastAsia"/>
          <w:szCs w:val="21"/>
        </w:rPr>
        <w:t>“责任主体1名称”“责任主体</w:t>
      </w:r>
      <w:r>
        <w:rPr>
          <w:szCs w:val="21"/>
        </w:rPr>
        <w:t>2</w:t>
      </w:r>
      <w:r>
        <w:rPr>
          <w:rFonts w:hint="eastAsia"/>
          <w:szCs w:val="21"/>
        </w:rPr>
        <w:t>名称”“责任主体</w:t>
      </w:r>
      <w:r>
        <w:rPr>
          <w:szCs w:val="21"/>
        </w:rPr>
        <w:t>N</w:t>
      </w:r>
      <w:r>
        <w:rPr>
          <w:rFonts w:hint="eastAsia"/>
          <w:szCs w:val="21"/>
        </w:rPr>
        <w:t>名称”：记载使用该入河排污口的所有责任主体名称及相关信息。</w:t>
      </w:r>
      <w:r>
        <w:rPr>
          <w:rFonts w:hint="eastAsia"/>
          <w:kern w:val="0"/>
          <w:szCs w:val="21"/>
        </w:rPr>
        <w:t>单一责任主体只需记载“责任主体1名称”及相关信息。</w:t>
      </w:r>
    </w:p>
    <w:p w14:paraId="21EAD356">
      <w:pPr>
        <w:pStyle w:val="81"/>
        <w:widowControl/>
        <w:numPr>
          <w:ilvl w:val="0"/>
          <w:numId w:val="1"/>
        </w:numPr>
        <w:spacing w:line="360" w:lineRule="exact"/>
        <w:ind w:left="-141" w:leftChars="-67" w:firstLine="0" w:firstLineChars="0"/>
        <w:rPr>
          <w:szCs w:val="21"/>
        </w:rPr>
      </w:pPr>
      <w:r>
        <w:rPr>
          <w:rFonts w:hint="eastAsia"/>
          <w:szCs w:val="21"/>
        </w:rPr>
        <w:t>“详细地址”：记载入河排污口责任主体详细地址，具体格式为“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w:t>
      </w:r>
    </w:p>
    <w:p w14:paraId="48BA485C">
      <w:pPr>
        <w:pStyle w:val="81"/>
        <w:widowControl/>
        <w:numPr>
          <w:ilvl w:val="0"/>
          <w:numId w:val="1"/>
        </w:numPr>
        <w:spacing w:line="360" w:lineRule="exact"/>
        <w:ind w:left="-141" w:leftChars="-67" w:firstLine="0" w:firstLineChars="0"/>
        <w:rPr>
          <w:szCs w:val="21"/>
        </w:rPr>
      </w:pPr>
      <w:r>
        <w:rPr>
          <w:rFonts w:hint="eastAsia"/>
          <w:szCs w:val="21"/>
        </w:rPr>
        <w:t>“统一社会信用代码”：按照“多证合一”后证照上的内容记载。无统一社会信用代码的，记载组织机构代码。</w:t>
      </w:r>
    </w:p>
    <w:p w14:paraId="2D76BB27">
      <w:pPr>
        <w:pStyle w:val="81"/>
        <w:widowControl/>
        <w:numPr>
          <w:ilvl w:val="0"/>
          <w:numId w:val="1"/>
        </w:numPr>
        <w:spacing w:line="360" w:lineRule="exact"/>
        <w:ind w:left="-141" w:leftChars="-67" w:firstLine="0" w:firstLineChars="0"/>
        <w:rPr>
          <w:szCs w:val="21"/>
        </w:rPr>
      </w:pPr>
      <w:r>
        <w:rPr>
          <w:rFonts w:hint="eastAsia"/>
          <w:szCs w:val="21"/>
        </w:rPr>
        <w:t>“法定代表人及联系电话”：记载入河排污口责任主体法定代表人及联系电话。</w:t>
      </w:r>
    </w:p>
    <w:p w14:paraId="3EF696D1">
      <w:pPr>
        <w:pStyle w:val="81"/>
        <w:widowControl/>
        <w:numPr>
          <w:ilvl w:val="0"/>
          <w:numId w:val="1"/>
        </w:numPr>
        <w:spacing w:line="360" w:lineRule="exact"/>
        <w:ind w:left="-141" w:leftChars="-67" w:firstLine="0" w:firstLineChars="0"/>
        <w:rPr>
          <w:szCs w:val="21"/>
        </w:rPr>
      </w:pPr>
      <w:r>
        <w:rPr>
          <w:rFonts w:hint="eastAsia"/>
          <w:szCs w:val="21"/>
        </w:rPr>
        <w:t>“行业类别”：按照GB/T 4754规定的行业规范记载，GB/T 4754未规定的可不记载。</w:t>
      </w:r>
    </w:p>
    <w:p w14:paraId="4AE35510">
      <w:pPr>
        <w:pStyle w:val="81"/>
        <w:widowControl/>
        <w:numPr>
          <w:ilvl w:val="0"/>
          <w:numId w:val="1"/>
        </w:numPr>
        <w:spacing w:line="360" w:lineRule="exact"/>
        <w:ind w:left="-141" w:leftChars="-67" w:firstLine="0" w:firstLineChars="0"/>
        <w:rPr>
          <w:szCs w:val="21"/>
        </w:rPr>
      </w:pPr>
      <w:r>
        <w:rPr>
          <w:rFonts w:hint="eastAsia"/>
          <w:szCs w:val="21"/>
        </w:rPr>
        <w:t>“排污许可证或排污登记编号”：记载生态环境部门颁发的排污许可证上的证书编码或者排污登记编码。如尚未申领排污许可证或尚未实施排污登记，记载“尚未申请”。</w:t>
      </w:r>
    </w:p>
    <w:p w14:paraId="0E432527">
      <w:pPr>
        <w:pStyle w:val="81"/>
        <w:widowControl/>
        <w:numPr>
          <w:ilvl w:val="0"/>
          <w:numId w:val="1"/>
        </w:numPr>
        <w:spacing w:line="360" w:lineRule="exact"/>
        <w:ind w:left="-141" w:leftChars="-67" w:firstLine="0" w:firstLineChars="0"/>
        <w:rPr>
          <w:szCs w:val="21"/>
        </w:rPr>
      </w:pPr>
      <w:r>
        <w:rPr>
          <w:szCs w:val="21"/>
        </w:rPr>
        <w:t xml:space="preserve"> </w:t>
      </w:r>
      <w:r>
        <w:rPr>
          <w:rFonts w:hint="eastAsia"/>
          <w:szCs w:val="21"/>
        </w:rPr>
        <w:t>“所在行政区域”：记载入河排污口设置地点所在位置，具体格式为“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门牌号或者具体位置”。</w:t>
      </w:r>
    </w:p>
    <w:p w14:paraId="40F4F095">
      <w:pPr>
        <w:pStyle w:val="81"/>
        <w:widowControl/>
        <w:numPr>
          <w:ilvl w:val="0"/>
          <w:numId w:val="1"/>
        </w:numPr>
        <w:spacing w:line="360" w:lineRule="exact"/>
        <w:ind w:left="-141" w:leftChars="-67" w:firstLine="0" w:firstLineChars="0"/>
        <w:rPr>
          <w:szCs w:val="21"/>
        </w:rPr>
      </w:pPr>
      <w:r>
        <w:rPr>
          <w:rFonts w:hint="eastAsia"/>
          <w:szCs w:val="21"/>
        </w:rPr>
        <w:t>“排入水体名称”：记载入河排污口直接排入的河流（含运河、沟、渠等）、湖泊、水库名称。</w:t>
      </w:r>
    </w:p>
    <w:p w14:paraId="0FBE4C70">
      <w:pPr>
        <w:pStyle w:val="81"/>
        <w:widowControl/>
        <w:numPr>
          <w:ilvl w:val="0"/>
          <w:numId w:val="1"/>
        </w:numPr>
        <w:spacing w:line="360" w:lineRule="exact"/>
        <w:ind w:left="-141" w:leftChars="-67" w:firstLine="0" w:firstLineChars="0"/>
        <w:rPr>
          <w:szCs w:val="21"/>
        </w:rPr>
      </w:pPr>
      <w:r>
        <w:rPr>
          <w:rFonts w:hint="eastAsia"/>
          <w:szCs w:val="21"/>
        </w:rPr>
        <w:t>“所在流域”：记载长江流域、黄河流域、淮河流域、海河流域、松花江流域、辽河流域、太湖流域、珠江流域、东南诸河、西南诸河、西北诸河。</w:t>
      </w:r>
    </w:p>
    <w:p w14:paraId="12872308">
      <w:pPr>
        <w:pStyle w:val="81"/>
        <w:widowControl/>
        <w:numPr>
          <w:ilvl w:val="0"/>
          <w:numId w:val="1"/>
        </w:numPr>
        <w:spacing w:line="360" w:lineRule="exact"/>
        <w:ind w:left="-141" w:leftChars="-67" w:firstLine="0" w:firstLineChars="0"/>
        <w:rPr>
          <w:szCs w:val="21"/>
        </w:rPr>
      </w:pPr>
      <w:r>
        <w:rPr>
          <w:rFonts w:hint="eastAsia"/>
          <w:szCs w:val="21"/>
        </w:rPr>
        <w:t>“经度”“纬度”：采用十进制，精确到小数点后六位，采用</w:t>
      </w:r>
      <w:r>
        <w:rPr>
          <w:szCs w:val="21"/>
        </w:rPr>
        <w:t>CGCS2000</w:t>
      </w:r>
      <w:r>
        <w:rPr>
          <w:rFonts w:hint="eastAsia"/>
          <w:szCs w:val="21"/>
        </w:rPr>
        <w:t>坐标系。</w:t>
      </w:r>
    </w:p>
    <w:p w14:paraId="6557A22D">
      <w:pPr>
        <w:pStyle w:val="81"/>
        <w:widowControl/>
        <w:numPr>
          <w:ilvl w:val="0"/>
          <w:numId w:val="1"/>
        </w:numPr>
        <w:spacing w:line="360" w:lineRule="exact"/>
        <w:ind w:left="-141" w:leftChars="-67" w:firstLine="0" w:firstLineChars="0"/>
        <w:rPr>
          <w:szCs w:val="21"/>
        </w:rPr>
      </w:pPr>
      <w:r>
        <w:rPr>
          <w:rFonts w:hint="eastAsia"/>
          <w:szCs w:val="21"/>
        </w:rPr>
        <w:t>“污水排放方式”“是否共用”“入河方式”：以“√”勾选相应选项，“入河方式”勾选“其他”的，须记载具体的入河方式。</w:t>
      </w:r>
    </w:p>
    <w:p w14:paraId="6DF581FE">
      <w:pPr>
        <w:pStyle w:val="81"/>
        <w:widowControl/>
        <w:numPr>
          <w:ilvl w:val="0"/>
          <w:numId w:val="1"/>
        </w:numPr>
        <w:spacing w:line="360" w:lineRule="exact"/>
        <w:ind w:left="-141" w:leftChars="-67" w:firstLine="0" w:firstLineChars="0"/>
        <w:rPr>
          <w:szCs w:val="21"/>
        </w:rPr>
      </w:pPr>
      <w:r>
        <w:rPr>
          <w:rFonts w:hint="eastAsia"/>
          <w:szCs w:val="21"/>
        </w:rPr>
        <w:t>“入河排污口截面信息”：入河排污口为圆形截面的，记载直径</w:t>
      </w:r>
      <w:r>
        <w:rPr>
          <w:szCs w:val="21"/>
        </w:rPr>
        <w:t>d</w:t>
      </w:r>
      <w:r>
        <w:rPr>
          <w:rFonts w:hint="eastAsia"/>
          <w:szCs w:val="21"/>
        </w:rPr>
        <w:t>和截面面积</w:t>
      </w:r>
      <w:r>
        <w:rPr>
          <w:szCs w:val="21"/>
        </w:rPr>
        <w:t>S</w:t>
      </w:r>
      <w:r>
        <w:rPr>
          <w:rFonts w:hint="eastAsia"/>
          <w:szCs w:val="21"/>
        </w:rPr>
        <w:t>；入河排污口为方形截面的，记载长</w:t>
      </w:r>
      <w:r>
        <w:rPr>
          <w:szCs w:val="21"/>
        </w:rPr>
        <w:t>L</w:t>
      </w:r>
      <w:r>
        <w:rPr>
          <w:rFonts w:hint="eastAsia"/>
          <w:szCs w:val="21"/>
        </w:rPr>
        <w:t>、宽</w:t>
      </w:r>
      <w:r>
        <w:rPr>
          <w:szCs w:val="21"/>
        </w:rPr>
        <w:t>B</w:t>
      </w:r>
      <w:r>
        <w:rPr>
          <w:rFonts w:hint="eastAsia"/>
          <w:szCs w:val="21"/>
        </w:rPr>
        <w:t>以及截面面积</w:t>
      </w:r>
      <w:r>
        <w:rPr>
          <w:szCs w:val="21"/>
        </w:rPr>
        <w:t>S</w:t>
      </w:r>
      <w:r>
        <w:rPr>
          <w:rFonts w:hint="eastAsia"/>
          <w:szCs w:val="21"/>
        </w:rPr>
        <w:t>；入河排污口为其他形状截面的，记载截面面积</w:t>
      </w:r>
      <w:r>
        <w:rPr>
          <w:szCs w:val="21"/>
        </w:rPr>
        <w:t>S</w:t>
      </w:r>
      <w:r>
        <w:rPr>
          <w:rFonts w:hint="eastAsia"/>
          <w:szCs w:val="21"/>
        </w:rPr>
        <w:t>。长度单位m指米，面积单位m</w:t>
      </w:r>
      <w:r>
        <w:rPr>
          <w:szCs w:val="21"/>
          <w:vertAlign w:val="superscript"/>
        </w:rPr>
        <w:t>2</w:t>
      </w:r>
      <w:r>
        <w:rPr>
          <w:rFonts w:hint="eastAsia"/>
          <w:szCs w:val="21"/>
        </w:rPr>
        <w:t>指平方米。</w:t>
      </w:r>
    </w:p>
    <w:p w14:paraId="66B1EB90">
      <w:pPr>
        <w:pStyle w:val="81"/>
        <w:widowControl/>
        <w:numPr>
          <w:ilvl w:val="0"/>
          <w:numId w:val="1"/>
        </w:numPr>
        <w:spacing w:line="360" w:lineRule="exact"/>
        <w:ind w:left="-141" w:leftChars="-67" w:firstLine="0" w:firstLineChars="0"/>
        <w:rPr>
          <w:szCs w:val="21"/>
        </w:rPr>
      </w:pPr>
      <w:r>
        <w:rPr>
          <w:rFonts w:hint="eastAsia"/>
          <w:szCs w:val="21"/>
        </w:rPr>
        <w:t xml:space="preserve"> “入河污水排放量，入河排污口重点污染物排放种类、排放浓度和排放量”：按照</w:t>
      </w:r>
      <w:r>
        <w:rPr>
          <w:szCs w:val="21"/>
        </w:rPr>
        <w:t>HJ 525</w:t>
      </w:r>
      <w:r>
        <w:rPr>
          <w:rFonts w:hint="eastAsia"/>
          <w:szCs w:val="21"/>
        </w:rPr>
        <w:t>规定，记载重点污染物排放浓度；全年通过入河排污口排放的污水排放量、重点污染物排放量；特殊时段污水日排放量、重点污染物日排放量。多个排污单位共用同一入河排污口的，应记载每个责任主体的入河污水排放量，入河排污口重点污染物排放种类、排放浓度和排放量，特殊时段的限制排放要求。具体确定方法参照</w:t>
      </w:r>
      <w:r>
        <w:rPr>
          <w:szCs w:val="21"/>
        </w:rPr>
        <w:t>HJ 1386</w:t>
      </w:r>
      <w:r>
        <w:rPr>
          <w:rFonts w:hint="eastAsia"/>
          <w:szCs w:val="21"/>
        </w:rPr>
        <w:t>规定。</w:t>
      </w:r>
      <w:r>
        <w:rPr>
          <w:szCs w:val="21"/>
        </w:rPr>
        <w:t>mg/L</w:t>
      </w:r>
      <w:r>
        <w:rPr>
          <w:rFonts w:hint="eastAsia"/>
          <w:szCs w:val="21"/>
        </w:rPr>
        <w:t>指毫克/升，</w:t>
      </w:r>
      <w:r>
        <w:rPr>
          <w:szCs w:val="21"/>
        </w:rPr>
        <w:t>t/a</w:t>
      </w:r>
      <w:r>
        <w:rPr>
          <w:rFonts w:hint="eastAsia"/>
          <w:szCs w:val="21"/>
        </w:rPr>
        <w:t>指吨/年，t</w:t>
      </w:r>
      <w:r>
        <w:rPr>
          <w:szCs w:val="21"/>
        </w:rPr>
        <w:t>/d</w:t>
      </w:r>
      <w:r>
        <w:rPr>
          <w:rFonts w:hint="eastAsia"/>
          <w:szCs w:val="21"/>
        </w:rPr>
        <w:t>指吨/日。</w:t>
      </w:r>
    </w:p>
    <w:p w14:paraId="52A6F144">
      <w:pPr>
        <w:pStyle w:val="81"/>
        <w:widowControl/>
        <w:numPr>
          <w:ilvl w:val="0"/>
          <w:numId w:val="1"/>
        </w:numPr>
        <w:spacing w:line="360" w:lineRule="exact"/>
        <w:ind w:left="-141" w:leftChars="-67" w:firstLine="0" w:firstLineChars="0"/>
        <w:rPr>
          <w:szCs w:val="21"/>
        </w:rPr>
      </w:pPr>
      <w:r>
        <w:rPr>
          <w:rFonts w:hint="eastAsia"/>
          <w:szCs w:val="21"/>
        </w:rPr>
        <w:t>“信息公开要求”：根据H</w:t>
      </w:r>
      <w:r>
        <w:rPr>
          <w:szCs w:val="21"/>
        </w:rPr>
        <w:t>J 1309</w:t>
      </w:r>
      <w:r>
        <w:rPr>
          <w:rFonts w:hint="eastAsia"/>
          <w:szCs w:val="21"/>
        </w:rPr>
        <w:t>、H</w:t>
      </w:r>
      <w:r>
        <w:rPr>
          <w:szCs w:val="21"/>
        </w:rPr>
        <w:t>J 1386</w:t>
      </w:r>
      <w:r>
        <w:rPr>
          <w:rFonts w:hint="eastAsia"/>
          <w:szCs w:val="21"/>
        </w:rPr>
        <w:t>标准要求，明确入河排污口需要公开的信息及公开方式。</w:t>
      </w:r>
    </w:p>
    <w:p w14:paraId="6982A481">
      <w:pPr>
        <w:pStyle w:val="81"/>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水污染事故应急处理预案以及环境风险防范措施</w:t>
      </w:r>
      <w:r>
        <w:rPr>
          <w:rFonts w:hint="eastAsia"/>
          <w:szCs w:val="21"/>
        </w:rPr>
        <w:t>”：根据入河排污口设置论证情况，明确入河排污口对应的责任主体</w:t>
      </w:r>
      <w:r>
        <w:rPr>
          <w:rFonts w:hint="eastAsia"/>
          <w:szCs w:val="20"/>
        </w:rPr>
        <w:t>水污染事故应急处理预案编制要求以及应采取的环境风险防范措施。如无具体要求的，可不记载具体内容。</w:t>
      </w:r>
    </w:p>
    <w:p w14:paraId="59ABE435">
      <w:pPr>
        <w:pStyle w:val="81"/>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水生态环境保护措施</w:t>
      </w:r>
      <w:r>
        <w:rPr>
          <w:rFonts w:hint="eastAsia"/>
          <w:szCs w:val="21"/>
        </w:rPr>
        <w:t>”：根据入河排污口设置论证情况，明确责任主体应采取的入河排污口</w:t>
      </w:r>
      <w:r>
        <w:rPr>
          <w:rFonts w:hint="eastAsia"/>
          <w:szCs w:val="20"/>
        </w:rPr>
        <w:t>水生态环境保护措施。如无具体要求的，可不记载具体内容。</w:t>
      </w:r>
    </w:p>
    <w:p w14:paraId="5D642018">
      <w:pPr>
        <w:pStyle w:val="81"/>
        <w:widowControl/>
        <w:numPr>
          <w:ilvl w:val="0"/>
          <w:numId w:val="1"/>
        </w:numPr>
        <w:spacing w:line="360" w:lineRule="exact"/>
        <w:ind w:left="-141" w:leftChars="-67" w:firstLine="0" w:firstLineChars="0"/>
        <w:rPr>
          <w:szCs w:val="21"/>
        </w:rPr>
      </w:pPr>
      <w:r>
        <w:rPr>
          <w:rFonts w:hint="eastAsia"/>
          <w:szCs w:val="21"/>
        </w:rPr>
        <w:t>“</w:t>
      </w:r>
      <w:r>
        <w:rPr>
          <w:rFonts w:hint="eastAsia"/>
        </w:rPr>
        <w:t>放射性物质管控措施</w:t>
      </w:r>
      <w:r>
        <w:rPr>
          <w:rFonts w:hint="eastAsia"/>
          <w:szCs w:val="21"/>
        </w:rPr>
        <w:t>”：根据入河排污口设置论证情况，明确责任主体应采取的</w:t>
      </w:r>
      <w:r>
        <w:rPr>
          <w:rFonts w:hint="eastAsia"/>
        </w:rPr>
        <w:t>放射性物质管控措施</w:t>
      </w:r>
      <w:r>
        <w:rPr>
          <w:rFonts w:hint="eastAsia"/>
          <w:szCs w:val="20"/>
        </w:rPr>
        <w:t>。如不涉及放射性物质管控，可不记载具体内容。</w:t>
      </w:r>
    </w:p>
    <w:p w14:paraId="426CCC28">
      <w:pPr>
        <w:pStyle w:val="81"/>
        <w:widowControl/>
        <w:numPr>
          <w:ilvl w:val="0"/>
          <w:numId w:val="1"/>
        </w:numPr>
        <w:spacing w:line="360" w:lineRule="exact"/>
        <w:ind w:left="-141" w:leftChars="-67" w:firstLine="0" w:firstLineChars="0"/>
        <w:rPr>
          <w:szCs w:val="21"/>
        </w:rPr>
      </w:pPr>
      <w:r>
        <w:rPr>
          <w:rFonts w:hint="eastAsia"/>
          <w:szCs w:val="21"/>
        </w:rPr>
        <w:t>“</w:t>
      </w:r>
      <w:r>
        <w:rPr>
          <w:rFonts w:hint="eastAsia"/>
          <w:kern w:val="0"/>
          <w:szCs w:val="21"/>
        </w:rPr>
        <w:t>其他需要注意的事项</w:t>
      </w:r>
      <w:r>
        <w:rPr>
          <w:rFonts w:hint="eastAsia"/>
          <w:szCs w:val="21"/>
        </w:rPr>
        <w:t>”：根据入河排污口设置论证情况，明确责任主体</w:t>
      </w:r>
      <w:r>
        <w:rPr>
          <w:rFonts w:hint="eastAsia"/>
          <w:kern w:val="0"/>
          <w:szCs w:val="21"/>
        </w:rPr>
        <w:t>其他需要注意的事项</w:t>
      </w:r>
      <w:r>
        <w:rPr>
          <w:rFonts w:hint="eastAsia"/>
          <w:szCs w:val="20"/>
        </w:rPr>
        <w:t>。如无具体要求的，可不记载具体内容。</w:t>
      </w:r>
    </w:p>
    <w:p w14:paraId="3B40D23C"/>
    <w:bookmarkEnd w:id="0"/>
    <w:p w14:paraId="5C2D4BBE">
      <w:pPr>
        <w:topLinePunct/>
        <w:adjustRightInd w:val="0"/>
        <w:spacing w:line="360" w:lineRule="exact"/>
        <w:jc w:val="center"/>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B65285D-8F16-40BF-BACE-DC865F3A96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2" w:fontKey="{39757262-791C-4B5E-B22A-DD4E6E5C5E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D802">
    <w:pPr>
      <w:pStyle w:val="1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5B89"/>
    <w:multiLevelType w:val="multilevel"/>
    <w:tmpl w:val="7CE65B8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14B604C"/>
    <w:rsid w:val="022143EC"/>
    <w:rsid w:val="04472A79"/>
    <w:rsid w:val="05034C75"/>
    <w:rsid w:val="067D17F3"/>
    <w:rsid w:val="0A8C0B96"/>
    <w:rsid w:val="0BC11EE9"/>
    <w:rsid w:val="0BFDA643"/>
    <w:rsid w:val="0CA27F6D"/>
    <w:rsid w:val="0CCC5274"/>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C537ED7"/>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041004"/>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2246DB"/>
    <w:rsid w:val="4484797D"/>
    <w:rsid w:val="44C8791D"/>
    <w:rsid w:val="450F36EA"/>
    <w:rsid w:val="45B24076"/>
    <w:rsid w:val="46467707"/>
    <w:rsid w:val="467B6220"/>
    <w:rsid w:val="4752218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0F32"/>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9F64551"/>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FA327"/>
    <w:rsid w:val="6FEF813C"/>
    <w:rsid w:val="6FFEBBA4"/>
    <w:rsid w:val="6FFF2EE4"/>
    <w:rsid w:val="70657DB3"/>
    <w:rsid w:val="706933FF"/>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Normal Indent"/>
    <w:basedOn w:val="1"/>
    <w:next w:val="1"/>
    <w:qFormat/>
    <w:uiPriority w:val="0"/>
    <w:pPr>
      <w:ind w:firstLine="420"/>
    </w:pPr>
    <w:rPr>
      <w:rFonts w:ascii="Times New Roman"/>
      <w:kern w:val="2"/>
      <w:sz w:val="21"/>
      <w:szCs w:val="24"/>
    </w:rPr>
  </w:style>
  <w:style w:type="paragraph" w:styleId="8">
    <w:name w:val="annotation text"/>
    <w:basedOn w:val="1"/>
    <w:link w:val="42"/>
    <w:unhideWhenUsed/>
    <w:qFormat/>
    <w:uiPriority w:val="99"/>
    <w:pPr>
      <w:jc w:val="left"/>
    </w:pPr>
  </w:style>
  <w:style w:type="paragraph" w:styleId="9">
    <w:name w:val="Salutation"/>
    <w:basedOn w:val="1"/>
    <w:next w:val="1"/>
    <w:link w:val="43"/>
    <w:qFormat/>
    <w:uiPriority w:val="0"/>
    <w:rPr>
      <w:szCs w:val="20"/>
      <w:lang w:bidi="mn-Mong-CN"/>
    </w:rPr>
  </w:style>
  <w:style w:type="paragraph" w:styleId="10">
    <w:name w:val="Body Text"/>
    <w:basedOn w:val="1"/>
    <w:next w:val="1"/>
    <w:link w:val="38"/>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4"/>
    <w:unhideWhenUsed/>
    <w:qFormat/>
    <w:uiPriority w:val="99"/>
    <w:pPr>
      <w:ind w:left="100" w:leftChars="2500"/>
    </w:pPr>
  </w:style>
  <w:style w:type="paragraph" w:styleId="15">
    <w:name w:val="Body Text Indent 2"/>
    <w:basedOn w:val="1"/>
    <w:link w:val="45"/>
    <w:qFormat/>
    <w:uiPriority w:val="0"/>
    <w:pPr>
      <w:spacing w:after="120" w:line="480" w:lineRule="auto"/>
      <w:ind w:left="420" w:leftChars="200" w:firstLine="200" w:firstLineChars="200"/>
    </w:pPr>
    <w:rPr>
      <w:szCs w:val="24"/>
    </w:rPr>
  </w:style>
  <w:style w:type="paragraph" w:styleId="16">
    <w:name w:val="endnote text"/>
    <w:basedOn w:val="1"/>
    <w:link w:val="46"/>
    <w:unhideWhenUsed/>
    <w:qFormat/>
    <w:uiPriority w:val="99"/>
    <w:pPr>
      <w:snapToGrid w:val="0"/>
      <w:jc w:val="left"/>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等线" w:eastAsia="等线"/>
      <w:b/>
      <w:bCs/>
      <w:caps/>
      <w:sz w:val="20"/>
      <w:szCs w:val="20"/>
    </w:rPr>
  </w:style>
  <w:style w:type="paragraph" w:styleId="21">
    <w:name w:val="toc 4"/>
    <w:basedOn w:val="1"/>
    <w:next w:val="1"/>
    <w:unhideWhenUsed/>
    <w:qFormat/>
    <w:uiPriority w:val="39"/>
    <w:pPr>
      <w:ind w:left="630"/>
      <w:jc w:val="left"/>
    </w:pPr>
    <w:rPr>
      <w:rFonts w:ascii="等线" w:eastAsia="等线"/>
      <w:sz w:val="18"/>
      <w:szCs w:val="18"/>
    </w:rPr>
  </w:style>
  <w:style w:type="paragraph" w:styleId="22">
    <w:name w:val="footnote text"/>
    <w:basedOn w:val="1"/>
    <w:link w:val="50"/>
    <w:unhideWhenUsed/>
    <w:qFormat/>
    <w:uiPriority w:val="99"/>
    <w:pPr>
      <w:snapToGrid w:val="0"/>
      <w:jc w:val="left"/>
    </w:pPr>
    <w:rPr>
      <w:sz w:val="18"/>
      <w:szCs w:val="18"/>
    </w:rPr>
  </w:style>
  <w:style w:type="paragraph" w:styleId="23">
    <w:name w:val="toc 6"/>
    <w:basedOn w:val="1"/>
    <w:next w:val="1"/>
    <w:unhideWhenUsed/>
    <w:qFormat/>
    <w:uiPriority w:val="39"/>
    <w:pPr>
      <w:ind w:left="1050"/>
      <w:jc w:val="left"/>
    </w:pPr>
    <w:rPr>
      <w:rFonts w:ascii="等线" w:eastAsia="等线"/>
      <w:sz w:val="18"/>
      <w:szCs w:val="18"/>
    </w:rPr>
  </w:style>
  <w:style w:type="paragraph" w:styleId="24">
    <w:name w:val="toc 2"/>
    <w:basedOn w:val="1"/>
    <w:next w:val="1"/>
    <w:unhideWhenUsed/>
    <w:qFormat/>
    <w:uiPriority w:val="39"/>
    <w:pPr>
      <w:ind w:left="210"/>
      <w:jc w:val="left"/>
    </w:pPr>
    <w:rPr>
      <w:rFonts w:ascii="等线" w:eastAsia="等线"/>
      <w:smallCaps/>
      <w:sz w:val="20"/>
      <w:szCs w:val="20"/>
    </w:rPr>
  </w:style>
  <w:style w:type="paragraph" w:styleId="25">
    <w:name w:val="toc 9"/>
    <w:basedOn w:val="1"/>
    <w:next w:val="1"/>
    <w:unhideWhenUsed/>
    <w:qFormat/>
    <w:uiPriority w:val="39"/>
    <w:pPr>
      <w:ind w:left="1680"/>
      <w:jc w:val="left"/>
    </w:pPr>
    <w:rPr>
      <w:rFonts w:ascii="等线" w:eastAsia="等线"/>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8"/>
    <w:next w:val="8"/>
    <w:link w:val="51"/>
    <w:unhideWhenUsed/>
    <w:qFormat/>
    <w:uiPriority w:val="99"/>
    <w:rPr>
      <w:b/>
      <w:bCs/>
    </w:rPr>
  </w:style>
  <w:style w:type="table" w:styleId="29">
    <w:name w:val="Table Grid"/>
    <w:basedOn w:val="28"/>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字符1"/>
    <w:link w:val="10"/>
    <w:qFormat/>
    <w:uiPriority w:val="0"/>
    <w:rPr>
      <w:rFonts w:ascii="仿宋_GB2312" w:hAnsi="仿宋_GB2312" w:eastAsia="仿宋_GB2312" w:cs="Times New Roman"/>
      <w:sz w:val="30"/>
      <w:szCs w:val="30"/>
      <w:lang w:eastAsia="en-US" w:bidi="ar-SA"/>
    </w:rPr>
  </w:style>
  <w:style w:type="character" w:customStyle="1" w:styleId="39">
    <w:name w:val="标题 1 字符1"/>
    <w:link w:val="2"/>
    <w:qFormat/>
    <w:uiPriority w:val="0"/>
    <w:rPr>
      <w:rFonts w:ascii="等线" w:hAnsi="等线" w:eastAsia="等线" w:cs="Times New Roman"/>
      <w:b/>
      <w:bCs/>
      <w:kern w:val="44"/>
      <w:sz w:val="44"/>
      <w:szCs w:val="44"/>
      <w:lang w:bidi="ar-SA"/>
    </w:rPr>
  </w:style>
  <w:style w:type="character" w:customStyle="1" w:styleId="40">
    <w:name w:val="标题 2 字符"/>
    <w:link w:val="3"/>
    <w:qFormat/>
    <w:uiPriority w:val="9"/>
    <w:rPr>
      <w:rFonts w:ascii="Calibri Light" w:hAnsi="Calibri Light" w:eastAsia="宋体" w:cs="Mongolian Baiti"/>
      <w:b/>
      <w:bCs/>
      <w:sz w:val="32"/>
      <w:szCs w:val="32"/>
      <w:lang w:bidi="ar-SA"/>
    </w:rPr>
  </w:style>
  <w:style w:type="character" w:customStyle="1" w:styleId="41">
    <w:name w:val="标题 3 字符"/>
    <w:link w:val="4"/>
    <w:semiHidden/>
    <w:qFormat/>
    <w:uiPriority w:val="9"/>
    <w:rPr>
      <w:rFonts w:ascii="Times New Roman" w:hAnsi="Times New Roman" w:eastAsia="宋体" w:cs="Times New Roman"/>
      <w:b/>
      <w:bCs/>
      <w:kern w:val="2"/>
      <w:sz w:val="32"/>
      <w:szCs w:val="32"/>
      <w:lang w:bidi="ar-SA"/>
    </w:rPr>
  </w:style>
  <w:style w:type="character" w:customStyle="1" w:styleId="42">
    <w:name w:val="批注文字 字符"/>
    <w:link w:val="8"/>
    <w:qFormat/>
    <w:uiPriority w:val="99"/>
    <w:rPr>
      <w:rFonts w:ascii="Times New Roman" w:hAnsi="Times New Roman" w:eastAsia="宋体" w:cs="Times New Roman"/>
      <w:szCs w:val="22"/>
      <w:lang w:bidi="ar-SA"/>
    </w:rPr>
  </w:style>
  <w:style w:type="character" w:customStyle="1" w:styleId="43">
    <w:name w:val="称呼 字符"/>
    <w:link w:val="9"/>
    <w:qFormat/>
    <w:uiPriority w:val="0"/>
    <w:rPr>
      <w:rFonts w:ascii="Times New Roman" w:hAnsi="Times New Roman" w:eastAsia="宋体" w:cs="Times New Roman"/>
      <w:kern w:val="2"/>
      <w:sz w:val="21"/>
    </w:rPr>
  </w:style>
  <w:style w:type="character" w:customStyle="1" w:styleId="44">
    <w:name w:val="日期 字符"/>
    <w:link w:val="14"/>
    <w:semiHidden/>
    <w:qFormat/>
    <w:uiPriority w:val="99"/>
    <w:rPr>
      <w:rFonts w:ascii="Times New Roman" w:hAnsi="Times New Roman" w:eastAsia="宋体" w:cs="Times New Roman"/>
      <w:kern w:val="2"/>
      <w:sz w:val="21"/>
      <w:szCs w:val="22"/>
      <w:lang w:bidi="ar-SA"/>
    </w:rPr>
  </w:style>
  <w:style w:type="character" w:customStyle="1" w:styleId="45">
    <w:name w:val="正文文本缩进 2 字符"/>
    <w:link w:val="15"/>
    <w:qFormat/>
    <w:uiPriority w:val="0"/>
    <w:rPr>
      <w:rFonts w:ascii="Times New Roman" w:hAnsi="Times New Roman" w:eastAsia="宋体" w:cs="Times New Roman"/>
      <w:kern w:val="2"/>
      <w:sz w:val="21"/>
      <w:szCs w:val="24"/>
      <w:lang w:bidi="ar-SA"/>
    </w:rPr>
  </w:style>
  <w:style w:type="character" w:customStyle="1" w:styleId="46">
    <w:name w:val="尾注文本 字符"/>
    <w:link w:val="16"/>
    <w:semiHidden/>
    <w:qFormat/>
    <w:uiPriority w:val="99"/>
    <w:rPr>
      <w:rFonts w:ascii="Times New Roman" w:hAnsi="Times New Roman" w:eastAsia="宋体" w:cs="Times New Roman"/>
      <w:kern w:val="2"/>
      <w:sz w:val="21"/>
      <w:szCs w:val="22"/>
      <w:lang w:bidi="ar-SA"/>
    </w:rPr>
  </w:style>
  <w:style w:type="character" w:customStyle="1" w:styleId="47">
    <w:name w:val="批注框文本 字符"/>
    <w:link w:val="17"/>
    <w:semiHidden/>
    <w:qFormat/>
    <w:uiPriority w:val="99"/>
    <w:rPr>
      <w:rFonts w:ascii="Times New Roman" w:hAnsi="Times New Roman" w:eastAsia="宋体" w:cs="Times New Roman"/>
      <w:sz w:val="18"/>
      <w:szCs w:val="18"/>
      <w:lang w:bidi="ar-SA"/>
    </w:rPr>
  </w:style>
  <w:style w:type="character" w:customStyle="1" w:styleId="48">
    <w:name w:val="页脚 字符"/>
    <w:link w:val="18"/>
    <w:qFormat/>
    <w:uiPriority w:val="99"/>
    <w:rPr>
      <w:rFonts w:ascii="等线" w:hAnsi="等线" w:eastAsia="等线" w:cs="Times New Roman"/>
      <w:sz w:val="18"/>
      <w:szCs w:val="18"/>
      <w:lang w:bidi="ar-SA"/>
    </w:rPr>
  </w:style>
  <w:style w:type="character" w:customStyle="1" w:styleId="49">
    <w:name w:val="页眉 字符"/>
    <w:link w:val="19"/>
    <w:qFormat/>
    <w:uiPriority w:val="99"/>
    <w:rPr>
      <w:kern w:val="2"/>
      <w:sz w:val="18"/>
      <w:szCs w:val="18"/>
      <w:lang w:bidi="ar-SA"/>
    </w:rPr>
  </w:style>
  <w:style w:type="character" w:customStyle="1" w:styleId="50">
    <w:name w:val="脚注文本 字符"/>
    <w:link w:val="22"/>
    <w:semiHidden/>
    <w:qFormat/>
    <w:uiPriority w:val="99"/>
    <w:rPr>
      <w:rFonts w:ascii="Times New Roman" w:hAnsi="Times New Roman" w:eastAsia="宋体" w:cs="Times New Roman"/>
      <w:kern w:val="2"/>
      <w:sz w:val="18"/>
      <w:szCs w:val="18"/>
      <w:lang w:bidi="ar-SA"/>
    </w:rPr>
  </w:style>
  <w:style w:type="character" w:customStyle="1" w:styleId="51">
    <w:name w:val="批注主题 字符"/>
    <w:link w:val="27"/>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3"/>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字符"/>
    <w:basedOn w:val="30"/>
    <w:link w:val="5"/>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 w:type="paragraph" w:customStyle="1" w:styleId="93">
    <w:name w:val="Table Text"/>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2939</Words>
  <Characters>3209</Characters>
  <Lines>26</Lines>
  <Paragraphs>7</Paragraphs>
  <TotalTime>22</TotalTime>
  <ScaleCrop>false</ScaleCrop>
  <LinksUpToDate>false</LinksUpToDate>
  <CharactersWithSpaces>3291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Sinner</cp:lastModifiedBy>
  <cp:lastPrinted>2025-05-20T08:36:00Z</cp:lastPrinted>
  <dcterms:modified xsi:type="dcterms:W3CDTF">2025-05-22T09:28:09Z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CA579D6CA76641A9859307643EAFC090_13</vt:lpwstr>
  </property>
  <property fmtid="{D5CDD505-2E9C-101B-9397-08002B2CF9AE}" pid="4" name="KSOTemplateDocerSaveRecord">
    <vt:lpwstr>eyJoZGlkIjoiNzU3NDdlYTAxMDM2M2Q2MWMyZGI2ZTljYmE5ZDM1NjYiLCJ1c2VySWQiOiI0Njc1NzEwMTIifQ==</vt:lpwstr>
  </property>
</Properties>
</file>