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_GBK" w:hAnsi="微软雅黑" w:eastAsia="方正小标宋_GBK"/>
          <w:color w:val="000000"/>
          <w:sz w:val="32"/>
          <w:szCs w:val="32"/>
        </w:rPr>
      </w:pPr>
      <w:r>
        <w:rPr>
          <w:rFonts w:hint="eastAsia" w:ascii="方正小标宋_GBK" w:hAnsi="微软雅黑" w:eastAsia="方正小标宋_GBK"/>
          <w:color w:val="000000"/>
          <w:sz w:val="32"/>
          <w:szCs w:val="32"/>
        </w:rPr>
        <w:t>附件</w:t>
      </w:r>
    </w:p>
    <w:p>
      <w:pPr>
        <w:widowControl/>
        <w:jc w:val="center"/>
        <w:rPr>
          <w:rFonts w:ascii="Times New Roman" w:hAnsi="Times New Roman" w:eastAsia="方正小标宋_GBK"/>
          <w:kern w:val="44"/>
          <w:sz w:val="44"/>
          <w:szCs w:val="48"/>
        </w:rPr>
      </w:pPr>
      <w:r>
        <w:rPr>
          <w:rFonts w:hint="eastAsia" w:ascii="方正小标宋_GBK" w:hAnsi="微软雅黑" w:eastAsia="方正小标宋_GBK"/>
          <w:color w:val="000000"/>
          <w:sz w:val="44"/>
          <w:szCs w:val="44"/>
        </w:rPr>
        <w:t>反馈意见及采纳情况汇总表</w:t>
      </w:r>
    </w:p>
    <w:p>
      <w:pPr>
        <w:spacing w:line="578" w:lineRule="exact"/>
        <w:rPr>
          <w:rFonts w:ascii="Times New Roman" w:hAnsi="Times New Roman" w:eastAsia="黑体"/>
          <w:sz w:val="32"/>
          <w:szCs w:val="32"/>
          <w:lang w:bidi="ar"/>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32"/>
        <w:gridCol w:w="3524"/>
        <w:gridCol w:w="107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397" w:type="pct"/>
            <w:vAlign w:val="center"/>
          </w:tcPr>
          <w:p>
            <w:pPr>
              <w:jc w:val="center"/>
              <w:rPr>
                <w:rFonts w:hint="eastAsia" w:ascii="黑体" w:hAnsi="黑体" w:eastAsia="黑体" w:cs="黑体"/>
                <w:b w:val="0"/>
                <w:bCs w:val="0"/>
              </w:rPr>
            </w:pPr>
            <w:r>
              <w:rPr>
                <w:rFonts w:hint="eastAsia" w:ascii="黑体" w:hAnsi="黑体" w:eastAsia="黑体" w:cs="黑体"/>
                <w:b w:val="0"/>
                <w:bCs w:val="0"/>
              </w:rPr>
              <w:t>序号</w:t>
            </w:r>
          </w:p>
        </w:tc>
        <w:tc>
          <w:tcPr>
            <w:tcW w:w="680" w:type="pct"/>
            <w:vAlign w:val="center"/>
          </w:tcPr>
          <w:p>
            <w:pPr>
              <w:jc w:val="center"/>
              <w:rPr>
                <w:rFonts w:hint="eastAsia" w:ascii="黑体" w:hAnsi="黑体" w:eastAsia="黑体" w:cs="黑体"/>
                <w:b w:val="0"/>
                <w:bCs w:val="0"/>
              </w:rPr>
            </w:pPr>
            <w:r>
              <w:rPr>
                <w:rFonts w:hint="eastAsia" w:ascii="黑体" w:hAnsi="黑体" w:eastAsia="黑体" w:cs="黑体"/>
                <w:b w:val="0"/>
                <w:bCs w:val="0"/>
              </w:rPr>
              <w:t>单位或部门名称</w:t>
            </w:r>
          </w:p>
        </w:tc>
        <w:tc>
          <w:tcPr>
            <w:tcW w:w="1945" w:type="pct"/>
            <w:vAlign w:val="center"/>
          </w:tcPr>
          <w:p>
            <w:pPr>
              <w:jc w:val="center"/>
              <w:rPr>
                <w:rFonts w:hint="eastAsia" w:ascii="黑体" w:hAnsi="黑体" w:eastAsia="黑体" w:cs="黑体"/>
                <w:b w:val="0"/>
                <w:bCs w:val="0"/>
              </w:rPr>
            </w:pPr>
            <w:r>
              <w:rPr>
                <w:rFonts w:hint="eastAsia" w:ascii="黑体" w:hAnsi="黑体" w:eastAsia="黑体" w:cs="黑体"/>
                <w:b w:val="0"/>
                <w:bCs w:val="0"/>
              </w:rPr>
              <w:t>回复意见</w:t>
            </w:r>
          </w:p>
        </w:tc>
        <w:tc>
          <w:tcPr>
            <w:tcW w:w="595" w:type="pct"/>
            <w:vAlign w:val="center"/>
          </w:tcPr>
          <w:p>
            <w:pPr>
              <w:jc w:val="center"/>
              <w:rPr>
                <w:rFonts w:hint="eastAsia" w:ascii="黑体" w:hAnsi="黑体" w:eastAsia="黑体" w:cs="黑体"/>
                <w:b w:val="0"/>
                <w:bCs w:val="0"/>
              </w:rPr>
            </w:pPr>
            <w:r>
              <w:rPr>
                <w:rFonts w:hint="eastAsia" w:ascii="黑体" w:hAnsi="黑体" w:eastAsia="黑体" w:cs="黑体"/>
                <w:b w:val="0"/>
                <w:bCs w:val="0"/>
              </w:rPr>
              <w:t>采纳情况</w:t>
            </w:r>
          </w:p>
        </w:tc>
        <w:tc>
          <w:tcPr>
            <w:tcW w:w="1383" w:type="pct"/>
            <w:vAlign w:val="center"/>
          </w:tcPr>
          <w:p>
            <w:pPr>
              <w:jc w:val="center"/>
              <w:rPr>
                <w:rFonts w:hint="eastAsia" w:ascii="黑体" w:hAnsi="黑体" w:eastAsia="黑体" w:cs="黑体"/>
                <w:b w:val="0"/>
                <w:bCs w:val="0"/>
              </w:rPr>
            </w:pPr>
            <w:r>
              <w:rPr>
                <w:rFonts w:hint="eastAsia" w:ascii="黑体" w:hAnsi="黑体" w:eastAsia="黑体" w:cs="黑体"/>
                <w:b w:val="0"/>
                <w:bCs w:val="0"/>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397" w:type="pct"/>
            <w:vAlign w:val="center"/>
          </w:tcPr>
          <w:p>
            <w:pPr>
              <w:jc w:val="center"/>
              <w:rPr>
                <w:rFonts w:ascii="Times New Roman" w:hAnsi="Times New Roman"/>
              </w:rPr>
            </w:pPr>
            <w:r>
              <w:rPr>
                <w:rFonts w:hint="eastAsia" w:ascii="Times New Roman" w:hAnsi="Times New Roman"/>
              </w:rPr>
              <w:t>1</w:t>
            </w:r>
          </w:p>
        </w:tc>
        <w:tc>
          <w:tcPr>
            <w:tcW w:w="680" w:type="pct"/>
            <w:vMerge w:val="restart"/>
            <w:vAlign w:val="center"/>
          </w:tcPr>
          <w:p>
            <w:pPr>
              <w:jc w:val="center"/>
              <w:rPr>
                <w:rFonts w:ascii="Times New Roman" w:hAnsi="Times New Roman"/>
              </w:rPr>
            </w:pPr>
            <w:r>
              <w:rPr>
                <w:rFonts w:hint="eastAsia" w:ascii="Times New Roman" w:hAnsi="Times New Roman"/>
              </w:rPr>
              <w:t>未米生物科技（海南）有限公司</w:t>
            </w:r>
          </w:p>
        </w:tc>
        <w:tc>
          <w:tcPr>
            <w:tcW w:w="1945" w:type="pct"/>
            <w:vAlign w:val="center"/>
          </w:tcPr>
          <w:p>
            <w:pPr>
              <w:rPr>
                <w:rFonts w:hint="default" w:ascii="Times New Roman" w:hAnsi="Times New Roman"/>
                <w:woUserID w:val="1"/>
              </w:rPr>
            </w:pPr>
            <w:r>
              <w:rPr>
                <w:rFonts w:hint="eastAsia" w:ascii="Times New Roman" w:hAnsi="Times New Roman"/>
              </w:rPr>
              <w:t>建议第十六条“持券企业当年度使用通用券金额低于其当年度已申领通用券总额的70%，或当年度使用创新券金额低于其当年度已申领创新券总额的70%，则在下一年度不能继续申领服务券。”进行修改，申领公司可将未使用的服务券退还或暂时取消下一年度不能继续申领服务券的政策</w:t>
            </w:r>
            <w:r>
              <w:rPr>
                <w:rFonts w:hint="eastAsia" w:ascii="Times New Roman" w:hAnsi="Times New Roman"/>
                <w:woUserID w:val="1"/>
              </w:rPr>
              <w:t>。</w:t>
            </w:r>
          </w:p>
        </w:tc>
        <w:tc>
          <w:tcPr>
            <w:tcW w:w="595" w:type="pct"/>
            <w:vAlign w:val="center"/>
          </w:tcPr>
          <w:p>
            <w:pPr>
              <w:jc w:val="center"/>
              <w:rPr>
                <w:rFonts w:ascii="Times New Roman" w:hAnsi="Times New Roman"/>
              </w:rPr>
            </w:pPr>
            <w:r>
              <w:rPr>
                <w:rFonts w:hint="eastAsia" w:ascii="Times New Roman" w:hAnsi="Times New Roman"/>
              </w:rPr>
              <w:t>采纳</w:t>
            </w:r>
          </w:p>
        </w:tc>
        <w:tc>
          <w:tcPr>
            <w:tcW w:w="1383" w:type="pct"/>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397" w:type="pct"/>
            <w:vAlign w:val="center"/>
          </w:tcPr>
          <w:p>
            <w:pPr>
              <w:jc w:val="center"/>
              <w:rPr>
                <w:rFonts w:ascii="Times New Roman" w:hAnsi="Times New Roman"/>
              </w:rPr>
            </w:pPr>
            <w:r>
              <w:rPr>
                <w:rFonts w:hint="eastAsia" w:ascii="Times New Roman" w:hAnsi="Times New Roman"/>
              </w:rPr>
              <w:t>2</w:t>
            </w:r>
          </w:p>
        </w:tc>
        <w:tc>
          <w:tcPr>
            <w:tcW w:w="680" w:type="pct"/>
            <w:vMerge w:val="continue"/>
            <w:vAlign w:val="center"/>
          </w:tcPr>
          <w:p>
            <w:pPr>
              <w:jc w:val="center"/>
              <w:rPr>
                <w:rFonts w:ascii="Times New Roman" w:hAnsi="Times New Roman"/>
              </w:rPr>
            </w:pPr>
          </w:p>
        </w:tc>
        <w:tc>
          <w:tcPr>
            <w:tcW w:w="1945" w:type="pct"/>
            <w:vAlign w:val="center"/>
          </w:tcPr>
          <w:p>
            <w:pPr>
              <w:rPr>
                <w:rFonts w:ascii="Times New Roman" w:hAnsi="Times New Roman"/>
              </w:rPr>
            </w:pPr>
            <w:r>
              <w:rPr>
                <w:rFonts w:hint="eastAsia" w:ascii="Times New Roman" w:hAnsi="Times New Roman"/>
              </w:rPr>
              <w:t>目前“崖州湾科技城服务券平台”部分服务在使用服务券后价格等同或高于其他服务机构，导致公司有使用需求但因价格因素无法使用。希望平台增加市场监管，提供优质服务的同时也能给予合理价格。</w:t>
            </w:r>
          </w:p>
        </w:tc>
        <w:tc>
          <w:tcPr>
            <w:tcW w:w="595" w:type="pct"/>
            <w:vAlign w:val="center"/>
          </w:tcPr>
          <w:p>
            <w:pPr>
              <w:jc w:val="center"/>
              <w:rPr>
                <w:rFonts w:ascii="Times New Roman" w:hAnsi="Times New Roman"/>
              </w:rPr>
            </w:pPr>
            <w:r>
              <w:rPr>
                <w:rFonts w:hint="eastAsia" w:ascii="Times New Roman" w:hAnsi="Times New Roman"/>
              </w:rPr>
              <w:t>采纳</w:t>
            </w:r>
          </w:p>
        </w:tc>
        <w:tc>
          <w:tcPr>
            <w:tcW w:w="1383" w:type="pct"/>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397" w:type="pct"/>
            <w:vAlign w:val="center"/>
          </w:tcPr>
          <w:p>
            <w:pPr>
              <w:jc w:val="center"/>
              <w:rPr>
                <w:rFonts w:ascii="Times New Roman" w:hAnsi="Times New Roman"/>
              </w:rPr>
            </w:pPr>
            <w:r>
              <w:rPr>
                <w:rFonts w:hint="eastAsia" w:ascii="Times New Roman" w:hAnsi="Times New Roman"/>
              </w:rPr>
              <w:t>3</w:t>
            </w:r>
          </w:p>
        </w:tc>
        <w:tc>
          <w:tcPr>
            <w:tcW w:w="680" w:type="pct"/>
            <w:vMerge w:val="restart"/>
            <w:vAlign w:val="center"/>
          </w:tcPr>
          <w:p>
            <w:pPr>
              <w:jc w:val="center"/>
              <w:rPr>
                <w:rFonts w:ascii="Times New Roman" w:hAnsi="Times New Roman"/>
              </w:rPr>
            </w:pPr>
            <w:r>
              <w:rPr>
                <w:rFonts w:hint="eastAsia" w:ascii="Times New Roman" w:hAnsi="Times New Roman"/>
              </w:rPr>
              <w:t>海南云常律师事务所、海南云常税务师事务所</w:t>
            </w:r>
          </w:p>
        </w:tc>
        <w:tc>
          <w:tcPr>
            <w:tcW w:w="1945" w:type="pct"/>
            <w:vAlign w:val="center"/>
          </w:tcPr>
          <w:p>
            <w:pPr>
              <w:rPr>
                <w:rFonts w:ascii="Times New Roman" w:hAnsi="Times New Roman"/>
              </w:rPr>
            </w:pPr>
            <w:r>
              <w:rPr>
                <w:rFonts w:hint="eastAsia" w:ascii="Times New Roman" w:hAnsi="Times New Roman"/>
              </w:rPr>
              <w:t>中小微企业大量法律服务是咨询事务，可能低于1000元，建议下调第十一条“单个服务合同用券金额不得低于1000元”的要求</w:t>
            </w:r>
            <w:r>
              <w:rPr>
                <w:rFonts w:hint="eastAsia" w:ascii="Times New Roman" w:hAnsi="Times New Roman"/>
                <w:woUserID w:val="1"/>
              </w:rPr>
              <w:t>。</w:t>
            </w:r>
          </w:p>
        </w:tc>
        <w:tc>
          <w:tcPr>
            <w:tcW w:w="595" w:type="pct"/>
            <w:vAlign w:val="center"/>
          </w:tcPr>
          <w:p>
            <w:pPr>
              <w:jc w:val="center"/>
              <w:rPr>
                <w:rFonts w:ascii="Times New Roman" w:hAnsi="Times New Roman"/>
              </w:rPr>
            </w:pPr>
            <w:r>
              <w:rPr>
                <w:rFonts w:hint="eastAsia" w:ascii="Times New Roman" w:hAnsi="Times New Roman"/>
              </w:rPr>
              <w:t>不采纳</w:t>
            </w:r>
          </w:p>
        </w:tc>
        <w:tc>
          <w:tcPr>
            <w:tcW w:w="1383" w:type="pct"/>
            <w:vAlign w:val="center"/>
          </w:tcPr>
          <w:p>
            <w:pPr>
              <w:rPr>
                <w:rFonts w:ascii="Times New Roman" w:hAnsi="Times New Roman"/>
              </w:rPr>
            </w:pPr>
            <w:r>
              <w:rPr>
                <w:rFonts w:hint="eastAsia" w:ascii="Times New Roman" w:hAnsi="Times New Roman"/>
              </w:rPr>
              <w:t>经研究，结合“法律顾问服务（不含诉讼及仲裁服务）”市场价格水平，“单个服务合同用券金额不得低于1000元”拟不作调整。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397" w:type="pct"/>
            <w:vAlign w:val="center"/>
          </w:tcPr>
          <w:p>
            <w:pPr>
              <w:jc w:val="center"/>
              <w:rPr>
                <w:rFonts w:ascii="Times New Roman" w:hAnsi="Times New Roman"/>
              </w:rPr>
            </w:pPr>
            <w:r>
              <w:rPr>
                <w:rFonts w:hint="eastAsia" w:ascii="Times New Roman" w:hAnsi="Times New Roman"/>
              </w:rPr>
              <w:t>4</w:t>
            </w:r>
          </w:p>
        </w:tc>
        <w:tc>
          <w:tcPr>
            <w:tcW w:w="680" w:type="pct"/>
            <w:vMerge w:val="continue"/>
            <w:vAlign w:val="center"/>
          </w:tcPr>
          <w:p>
            <w:pPr>
              <w:jc w:val="center"/>
              <w:rPr>
                <w:rFonts w:ascii="Times New Roman" w:hAnsi="Times New Roman"/>
              </w:rPr>
            </w:pPr>
          </w:p>
        </w:tc>
        <w:tc>
          <w:tcPr>
            <w:tcW w:w="1945" w:type="pct"/>
            <w:vAlign w:val="center"/>
          </w:tcPr>
          <w:p>
            <w:pPr>
              <w:rPr>
                <w:rFonts w:ascii="Times New Roman" w:hAnsi="Times New Roman"/>
              </w:rPr>
            </w:pPr>
            <w:r>
              <w:rPr>
                <w:rFonts w:hint="eastAsia" w:ascii="Times New Roman" w:hAnsi="Times New Roman"/>
              </w:rPr>
              <w:t>如果小微企业年度法律顾问服务费视为单个服务合同，企业申请可能会大幅增加，此情况下可设定申请的企业数目，先申请先得</w:t>
            </w:r>
            <w:r>
              <w:rPr>
                <w:rFonts w:hint="eastAsia" w:ascii="Times New Roman" w:hAnsi="Times New Roman"/>
                <w:woUserID w:val="1"/>
              </w:rPr>
              <w:t>。</w:t>
            </w:r>
          </w:p>
        </w:tc>
        <w:tc>
          <w:tcPr>
            <w:tcW w:w="595" w:type="pct"/>
            <w:vAlign w:val="center"/>
          </w:tcPr>
          <w:p>
            <w:pPr>
              <w:jc w:val="center"/>
              <w:rPr>
                <w:rFonts w:ascii="Times New Roman" w:hAnsi="Times New Roman"/>
              </w:rPr>
            </w:pPr>
            <w:r>
              <w:rPr>
                <w:rFonts w:hint="eastAsia" w:ascii="Times New Roman" w:hAnsi="Times New Roman"/>
              </w:rPr>
              <w:t>不采纳</w:t>
            </w:r>
          </w:p>
        </w:tc>
        <w:tc>
          <w:tcPr>
            <w:tcW w:w="1383" w:type="pct"/>
            <w:vAlign w:val="center"/>
          </w:tcPr>
          <w:p>
            <w:pPr>
              <w:rPr>
                <w:rFonts w:ascii="Times New Roman" w:hAnsi="Times New Roman"/>
              </w:rPr>
            </w:pPr>
            <w:r>
              <w:rPr>
                <w:rFonts w:hint="eastAsia" w:ascii="Times New Roman" w:hAnsi="Times New Roman"/>
              </w:rPr>
              <w:t>1.按政策要求，服务机构服务合同涉及的服务事项全部履行完毕后，可申请兑现；</w:t>
            </w:r>
          </w:p>
          <w:p>
            <w:pPr>
              <w:rPr>
                <w:rFonts w:ascii="Times New Roman" w:hAnsi="Times New Roman"/>
              </w:rPr>
            </w:pPr>
            <w:r>
              <w:rPr>
                <w:rFonts w:hint="eastAsia" w:ascii="Times New Roman" w:hAnsi="Times New Roman"/>
              </w:rPr>
              <w:t>2.设定企业申请数目，目前不具备实操性。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397" w:type="pct"/>
            <w:vAlign w:val="center"/>
          </w:tcPr>
          <w:p>
            <w:pPr>
              <w:jc w:val="center"/>
              <w:rPr>
                <w:rFonts w:ascii="Times New Roman" w:hAnsi="Times New Roman"/>
              </w:rPr>
            </w:pPr>
            <w:r>
              <w:rPr>
                <w:rFonts w:hint="eastAsia" w:ascii="Times New Roman" w:hAnsi="Times New Roman"/>
              </w:rPr>
              <w:t>5</w:t>
            </w:r>
          </w:p>
        </w:tc>
        <w:tc>
          <w:tcPr>
            <w:tcW w:w="680" w:type="pct"/>
            <w:vMerge w:val="continue"/>
            <w:vAlign w:val="center"/>
          </w:tcPr>
          <w:p>
            <w:pPr>
              <w:jc w:val="center"/>
              <w:rPr>
                <w:rFonts w:ascii="Times New Roman" w:hAnsi="Times New Roman"/>
              </w:rPr>
            </w:pPr>
          </w:p>
        </w:tc>
        <w:tc>
          <w:tcPr>
            <w:tcW w:w="1945" w:type="pct"/>
            <w:vAlign w:val="center"/>
          </w:tcPr>
          <w:p>
            <w:pPr>
              <w:rPr>
                <w:rFonts w:ascii="Times New Roman" w:hAnsi="Times New Roman"/>
              </w:rPr>
            </w:pPr>
            <w:r>
              <w:rPr>
                <w:rFonts w:hint="eastAsia" w:ascii="Times New Roman" w:hAnsi="Times New Roman"/>
              </w:rPr>
              <w:t>“在一年内申领通用券总额度不超过1万元”，建议调高上限</w:t>
            </w:r>
            <w:r>
              <w:rPr>
                <w:rFonts w:hint="eastAsia" w:ascii="Times New Roman" w:hAnsi="Times New Roman"/>
                <w:woUserID w:val="1"/>
              </w:rPr>
              <w:t>。</w:t>
            </w:r>
          </w:p>
        </w:tc>
        <w:tc>
          <w:tcPr>
            <w:tcW w:w="595" w:type="pct"/>
            <w:vAlign w:val="center"/>
          </w:tcPr>
          <w:p>
            <w:pPr>
              <w:jc w:val="center"/>
              <w:rPr>
                <w:rFonts w:ascii="Times New Roman" w:hAnsi="Times New Roman"/>
              </w:rPr>
            </w:pPr>
            <w:r>
              <w:rPr>
                <w:rFonts w:hint="eastAsia" w:ascii="Times New Roman" w:hAnsi="Times New Roman"/>
              </w:rPr>
              <w:t>不采纳</w:t>
            </w:r>
          </w:p>
        </w:tc>
        <w:tc>
          <w:tcPr>
            <w:tcW w:w="1383" w:type="pct"/>
            <w:vAlign w:val="center"/>
          </w:tcPr>
          <w:p>
            <w:pPr>
              <w:rPr>
                <w:rFonts w:ascii="Times New Roman" w:hAnsi="Times New Roman"/>
              </w:rPr>
            </w:pPr>
            <w:r>
              <w:rPr>
                <w:rFonts w:hint="eastAsia" w:ascii="Times New Roman" w:hAnsi="Times New Roman"/>
              </w:rPr>
              <w:t>为尽可能扩大政策惠及面，通用券额度拟不作调整。</w:t>
            </w:r>
          </w:p>
        </w:tc>
      </w:tr>
    </w:tbl>
    <w:p/>
    <w:sectPr>
      <w:headerReference r:id="rId3" w:type="default"/>
      <w:footerReference r:id="rId4" w:type="default"/>
      <w:pgSz w:w="11906" w:h="16838"/>
      <w:pgMar w:top="2098" w:right="1474" w:bottom="1985" w:left="1588"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sz w:val="28"/>
        <w:szCs w:val="28"/>
      </w:rPr>
    </w:pPr>
    <w:bookmarkStart w:id="0" w:name="_GoBack"/>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default"/>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81E45"/>
    <w:rsid w:val="000A34B6"/>
    <w:rsid w:val="00177771"/>
    <w:rsid w:val="00183B78"/>
    <w:rsid w:val="00192A54"/>
    <w:rsid w:val="001F16B5"/>
    <w:rsid w:val="0026532E"/>
    <w:rsid w:val="002955FE"/>
    <w:rsid w:val="002E0652"/>
    <w:rsid w:val="002E5560"/>
    <w:rsid w:val="0053728A"/>
    <w:rsid w:val="005D244E"/>
    <w:rsid w:val="006161D6"/>
    <w:rsid w:val="00721F02"/>
    <w:rsid w:val="00735C6C"/>
    <w:rsid w:val="00780FEC"/>
    <w:rsid w:val="00784EAE"/>
    <w:rsid w:val="00883400"/>
    <w:rsid w:val="008F4DE8"/>
    <w:rsid w:val="009A3263"/>
    <w:rsid w:val="00BB004C"/>
    <w:rsid w:val="00C654E6"/>
    <w:rsid w:val="00F572D6"/>
    <w:rsid w:val="02AE1DD7"/>
    <w:rsid w:val="06895082"/>
    <w:rsid w:val="068A75FF"/>
    <w:rsid w:val="078E28AC"/>
    <w:rsid w:val="07ED5578"/>
    <w:rsid w:val="09A129E2"/>
    <w:rsid w:val="0B9A251A"/>
    <w:rsid w:val="0DB37CD8"/>
    <w:rsid w:val="10C34956"/>
    <w:rsid w:val="13764469"/>
    <w:rsid w:val="154D6BE4"/>
    <w:rsid w:val="15A21CC1"/>
    <w:rsid w:val="15DE0D52"/>
    <w:rsid w:val="16DD132D"/>
    <w:rsid w:val="195D0EAA"/>
    <w:rsid w:val="1B705AF1"/>
    <w:rsid w:val="1D853D4D"/>
    <w:rsid w:val="1DCA0DF9"/>
    <w:rsid w:val="1E855E7E"/>
    <w:rsid w:val="1F3A674C"/>
    <w:rsid w:val="1F4E208F"/>
    <w:rsid w:val="1F654EE6"/>
    <w:rsid w:val="20765541"/>
    <w:rsid w:val="20D81E45"/>
    <w:rsid w:val="21914541"/>
    <w:rsid w:val="21BC117B"/>
    <w:rsid w:val="233D5EA2"/>
    <w:rsid w:val="23D5257E"/>
    <w:rsid w:val="264E2989"/>
    <w:rsid w:val="278F2CED"/>
    <w:rsid w:val="28A21BB6"/>
    <w:rsid w:val="2A5C2F21"/>
    <w:rsid w:val="2C3D0341"/>
    <w:rsid w:val="2E09441F"/>
    <w:rsid w:val="2EE21BA7"/>
    <w:rsid w:val="2F060557"/>
    <w:rsid w:val="2F673ED2"/>
    <w:rsid w:val="2FF72099"/>
    <w:rsid w:val="31401E47"/>
    <w:rsid w:val="3210636A"/>
    <w:rsid w:val="323E53A6"/>
    <w:rsid w:val="34EB5E60"/>
    <w:rsid w:val="35631F09"/>
    <w:rsid w:val="35E70327"/>
    <w:rsid w:val="36151E1F"/>
    <w:rsid w:val="36D228EB"/>
    <w:rsid w:val="3867436A"/>
    <w:rsid w:val="3AAF43D3"/>
    <w:rsid w:val="3ED877F4"/>
    <w:rsid w:val="41EC3DB8"/>
    <w:rsid w:val="423436D6"/>
    <w:rsid w:val="425F25BC"/>
    <w:rsid w:val="42C074C9"/>
    <w:rsid w:val="43A31047"/>
    <w:rsid w:val="44990BE0"/>
    <w:rsid w:val="44C71436"/>
    <w:rsid w:val="45C35451"/>
    <w:rsid w:val="45D139F1"/>
    <w:rsid w:val="46AA4AD2"/>
    <w:rsid w:val="46F337F6"/>
    <w:rsid w:val="470D43A0"/>
    <w:rsid w:val="48587792"/>
    <w:rsid w:val="49251549"/>
    <w:rsid w:val="4A1F7D52"/>
    <w:rsid w:val="4A501312"/>
    <w:rsid w:val="4BA97E43"/>
    <w:rsid w:val="4CF61D28"/>
    <w:rsid w:val="4E4A3E9C"/>
    <w:rsid w:val="4E7C72B9"/>
    <w:rsid w:val="4F9827A5"/>
    <w:rsid w:val="50137F07"/>
    <w:rsid w:val="52644AAC"/>
    <w:rsid w:val="52A55F5B"/>
    <w:rsid w:val="530A2B9C"/>
    <w:rsid w:val="53592A03"/>
    <w:rsid w:val="538613A5"/>
    <w:rsid w:val="541A3286"/>
    <w:rsid w:val="5455718B"/>
    <w:rsid w:val="55E375A5"/>
    <w:rsid w:val="57346A5C"/>
    <w:rsid w:val="57531D1E"/>
    <w:rsid w:val="58344A22"/>
    <w:rsid w:val="584F41FB"/>
    <w:rsid w:val="58557AC2"/>
    <w:rsid w:val="5862319F"/>
    <w:rsid w:val="596E2882"/>
    <w:rsid w:val="59CA6683"/>
    <w:rsid w:val="5A5501A9"/>
    <w:rsid w:val="5DC520D9"/>
    <w:rsid w:val="5FB17A4A"/>
    <w:rsid w:val="60383FB7"/>
    <w:rsid w:val="61091717"/>
    <w:rsid w:val="63F96ADC"/>
    <w:rsid w:val="651565EC"/>
    <w:rsid w:val="671F5644"/>
    <w:rsid w:val="69064E7C"/>
    <w:rsid w:val="6BE33AC8"/>
    <w:rsid w:val="6CDA0A5A"/>
    <w:rsid w:val="6D707641"/>
    <w:rsid w:val="6DF46B8E"/>
    <w:rsid w:val="6ED511A1"/>
    <w:rsid w:val="6F7B4296"/>
    <w:rsid w:val="70F57BD4"/>
    <w:rsid w:val="73880040"/>
    <w:rsid w:val="76EF1B61"/>
    <w:rsid w:val="77311EFF"/>
    <w:rsid w:val="78582600"/>
    <w:rsid w:val="786B22D2"/>
    <w:rsid w:val="7A8C310D"/>
    <w:rsid w:val="7BBE5548"/>
    <w:rsid w:val="7C864510"/>
    <w:rsid w:val="7D275737"/>
    <w:rsid w:val="7E6B26FB"/>
    <w:rsid w:val="7F9C0DC0"/>
    <w:rsid w:val="CF786A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rPr>
      <w:rFonts w:eastAsia="宋体"/>
    </w:rPr>
  </w:style>
  <w:style w:type="paragraph" w:styleId="3">
    <w:name w:val="annotation text"/>
    <w:basedOn w:val="1"/>
    <w:qFormat/>
    <w:uiPriority w:val="0"/>
    <w:pPr>
      <w:jc w:val="left"/>
    </w:pPr>
  </w:style>
  <w:style w:type="paragraph" w:styleId="4">
    <w:name w:val="Body Text"/>
    <w:basedOn w:val="1"/>
    <w:next w:val="5"/>
    <w:qFormat/>
    <w:uiPriority w:val="0"/>
    <w:pPr>
      <w:spacing w:after="120"/>
    </w:pPr>
    <w:rPr>
      <w:rFonts w:eastAsia="宋体"/>
      <w:sz w:val="21"/>
    </w:rPr>
  </w:style>
  <w:style w:type="paragraph" w:styleId="5">
    <w:name w:val="Body Text First Indent"/>
    <w:basedOn w:val="4"/>
    <w:qFormat/>
    <w:uiPriority w:val="0"/>
    <w:pPr>
      <w:ind w:firstLine="1040"/>
    </w:pPr>
    <w:rPr>
      <w:sz w:val="24"/>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uiPriority w:val="0"/>
    <w:pP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rFonts w:ascii="Times New Roman" w:hAnsi="Times New Roman" w:cstheme="minorBidi"/>
      <w:sz w:val="18"/>
    </w:rPr>
  </w:style>
  <w:style w:type="character" w:customStyle="1" w:styleId="11">
    <w:name w:val="页眉 字符"/>
    <w:basedOn w:val="10"/>
    <w:link w:val="7"/>
    <w:uiPriority w:val="0"/>
    <w:rPr>
      <w:rFonts w:ascii="Calibri" w:hAnsi="Calibri" w:eastAsia="仿宋_GB2312"/>
      <w:kern w:val="2"/>
      <w:sz w:val="18"/>
      <w:szCs w:val="18"/>
    </w:rPr>
  </w:style>
  <w:style w:type="character" w:customStyle="1" w:styleId="12">
    <w:name w:val="页脚 字符"/>
    <w:basedOn w:val="10"/>
    <w:link w:val="6"/>
    <w:uiPriority w:val="99"/>
    <w:rPr>
      <w:rFonts w:ascii="Calibri" w:hAnsi="Calibri" w:eastAsia="仿宋_GB2312"/>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571</Words>
  <Characters>56</Characters>
  <Lines>8</Lines>
  <Paragraphs>29</Paragraphs>
  <TotalTime>0</TotalTime>
  <ScaleCrop>false</ScaleCrop>
  <LinksUpToDate>false</LinksUpToDate>
  <CharactersWithSpaces>598</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2025-05-09T11:27:00Z</dcterms:created>
  <dc:creator>Connie</dc:creator>
  <cp:lastModifiedBy>Q</cp:lastModifiedBy>
  <dcterms:modified xsi:type="dcterms:W3CDTF">2025-05-09T12:38:36Z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4588B9E23E4D4935916069BA162AE71B_11</vt:lpwstr>
  </property>
  <property fmtid="{D5CDD505-2E9C-101B-9397-08002B2CF9AE}" pid="4" name="KSOTemplateDocerSaveRecord">
    <vt:lpwstr>eyJoZGlkIjoiYThmYjA2Y2VjMzYzNzk0N2U5MmI0YTRiYWI0MTU4MTUiLCJ1c2VySWQiOiIxNDAyMzQ3NzY3In0=</vt:lpwstr>
  </property>
</Properties>
</file>