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三亚崖州湾科技城建设工程项目</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eastAsia="zh-CN"/>
        </w:rPr>
        <w:t>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季度“红黄蓝”等级分布情况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项目总体情况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据统计，</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季度科技城</w:t>
      </w:r>
      <w:r>
        <w:rPr>
          <w:rFonts w:ascii="Times New Roman" w:hAnsi="Times New Roman" w:eastAsia="仿宋_GB2312" w:cs="Times New Roman"/>
          <w:sz w:val="32"/>
          <w:szCs w:val="32"/>
        </w:rPr>
        <w:t>园区已纳监工程项目满足评审条件的在建工程共计</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个（房建项目</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个，市政项目</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个）。其中，达到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红级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评定标准的项目共计0个，占评定项目总量的0%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1个，占评定项目总量的57%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评定标准的项目共计38个，占评定项目总量的43%。</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项目红、黄、蓝评定情况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ascii="仿宋_GB2312" w:eastAsia="仿宋_GB2312"/>
          <w:sz w:val="32"/>
          <w:szCs w:val="32"/>
        </w:rPr>
        <w:t>按照相关要求，</w:t>
      </w:r>
      <w:r>
        <w:rPr>
          <w:rFonts w:ascii="Times New Roman" w:hAnsi="Times New Roman" w:eastAsia="仿宋_GB2312" w:cs="Times New Roman"/>
          <w:sz w:val="32"/>
          <w:szCs w:val="32"/>
        </w:rPr>
        <w:t>运用风险分级评定表，我局对</w:t>
      </w:r>
      <w:r>
        <w:rPr>
          <w:rFonts w:hint="eastAsia" w:ascii="Times New Roman" w:hAnsi="Times New Roman" w:eastAsia="仿宋_GB2312" w:cs="Times New Roman"/>
          <w:sz w:val="32"/>
          <w:szCs w:val="32"/>
        </w:rPr>
        <w:t>科技城园区202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年第一</w:t>
      </w:r>
      <w:r>
        <w:rPr>
          <w:rFonts w:ascii="Times New Roman" w:hAnsi="Times New Roman" w:eastAsia="仿宋_GB2312" w:cs="Times New Roman"/>
          <w:sz w:val="32"/>
          <w:szCs w:val="32"/>
        </w:rPr>
        <w:t>季度的</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个项目进行统计分析，统计情况如表1、表2 所示。</w:t>
      </w: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仿宋_GB2312" w:eastAsia="仿宋_GB2312"/>
          <w:sz w:val="32"/>
          <w:szCs w:val="32"/>
        </w:rPr>
      </w:pPr>
      <w:r>
        <w:rPr>
          <w:rFonts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default" w:ascii="Times New Roman" w:hAnsi="Times New Roman" w:eastAsia="仿宋_GB2312" w:cs="Times New Roman"/>
          <w:sz w:val="32"/>
          <w:szCs w:val="32"/>
        </w:rPr>
        <w:t>表1.三亚崖州湾科技城建设工程项</w:t>
      </w:r>
      <w:r>
        <w:rPr>
          <w:rFonts w:hint="eastAsia" w:ascii="仿宋_GB2312" w:eastAsia="仿宋_GB2312"/>
          <w:sz w:val="32"/>
          <w:szCs w:val="32"/>
        </w:rPr>
        <w:t>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fixed"/>
        <w:tblCellMar>
          <w:top w:w="0" w:type="dxa"/>
          <w:left w:w="108" w:type="dxa"/>
          <w:bottom w:w="0" w:type="dxa"/>
          <w:right w:w="108" w:type="dxa"/>
        </w:tblCellMar>
      </w:tblPr>
      <w:tblGrid>
        <w:gridCol w:w="1230"/>
        <w:gridCol w:w="6703"/>
        <w:gridCol w:w="1847"/>
      </w:tblGrid>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70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847"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评定等级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聚亿椰海锦程</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三亚崖州湾科技城G98沿线横向交叉道路建设工程项目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南繁科技城综合服务保障区南繁大道片区路网项目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三亚崖州湾南繁科技城北部片区道路工程项目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南滨路道路工程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三亚崖州湾科技城疏港大道工程项目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三亚崖州湾科技城与保港组团跨宁远河连通通道工程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深海科技城市政设施标准化一期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sz w:val="22"/>
              </w:rPr>
            </w:pPr>
            <w:r>
              <w:rPr>
                <w:rFonts w:hint="default" w:ascii="Times New Roman" w:hAnsi="Times New Roman" w:cs="Times New Roman"/>
                <w:sz w:val="22"/>
              </w:rPr>
              <w:t>深海科技城市政设施标准化二期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三亚市崖州中心渔港片区路网建设三期工程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三亚崖州海科海洋研发中心项目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海垦佳元·海阔天城酒店项目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三亚市崖州区图书馆、文化馆、体育馆工程项目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崖州湾科技城公交枢纽站（场站）项目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三亚崖州湾科技城离岸科研综合楼项目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华能南山电厂2*46万千瓦级燃气-蒸汽联合循环发电机组扩建项目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崖州科尚城市广场项目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招商臻园二标段项目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中国南繁中心一期、二期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保利·汀澜和著项目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三亚崖州湾科技城双创示范基地项目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三亚崖州湾科技城智造创新园立体停车楼项目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三亚市崖州中心渔港保障性住房项目</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三亚南山港公共科考码头工程</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海南自贸港崖州湾科技城黄金珠宝国际创新设计工场项目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三亚崖州湾科技城离岸科研综合楼项目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三亚崖州湾南繁科技城起步区YK01-02-01-01、02、03、04</w:t>
            </w:r>
            <w:r>
              <w:rPr>
                <w:rFonts w:hint="default" w:ascii="Times New Roman" w:hAnsi="Times New Roman" w:cs="Times New Roman"/>
                <w:color w:val="000000"/>
                <w:sz w:val="22"/>
                <w:lang w:eastAsia="zh-CN"/>
              </w:rPr>
              <w:t>（一期）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6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三亚崖州湾科技城综合医院</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689"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国家非人灵长类种质资源与模型研发中心EPC（设计、施工）工程总承包</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国家热带农业科技成果转移转化中心</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科大讯飞海南自由贸易港科研中心一期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隆平生物生物育种双创中心</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三亚南繁科技城南繁博物馆项目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三亚崖州湾科技城综合医院</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602"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pacing w:val="-6"/>
                <w:sz w:val="22"/>
              </w:rPr>
              <w:t>三亚崖州湾南繁科技城起步区YK01-02-01-01、02、03、04项目（二期）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三亚崖州湾深海科技城智慧综合能源服务项目（二期）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新浪创意港项目（一期）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用友产业园（三亚）二期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宋体" w:cs="Times New Roman"/>
                <w:color w:val="000000"/>
                <w:sz w:val="22"/>
                <w:lang w:eastAsia="zh-CN"/>
              </w:rPr>
            </w:pPr>
            <w:r>
              <w:rPr>
                <w:rFonts w:hint="default" w:ascii="Times New Roman" w:hAnsi="Times New Roman" w:cs="Times New Roman"/>
                <w:color w:val="000000"/>
                <w:sz w:val="22"/>
              </w:rPr>
              <w:t>中国热带农业科学院南繁育种科技服务中心建设项目（EPC</w:t>
            </w:r>
            <w:r>
              <w:rPr>
                <w:rFonts w:hint="eastAsia" w:ascii="Times New Roman" w:hAnsi="Times New Roman" w:cs="Times New Roman"/>
                <w:color w:val="000000"/>
                <w:sz w:val="22"/>
                <w:lang w:eastAsia="zh-CN"/>
              </w:rPr>
              <w:t>）</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数学与物理国际研究中心（一期）项目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崖州果蔬综合批发市场（一期）项目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明阳海南海洋能源科研与国际业务总部项目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三亚崖州湾智造创新园项目一期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三亚崖州湾科技城安置区</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二期</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项目（一标）</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三亚崖州湾深海科技城安置区（三期）项目二标段</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46</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三亚崖州湾深海科技城安置区（二期）项目（二标段）</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47</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浙江大学（海南）先进技术与产业创新平台建设项目</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48</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招商三亚深海装备产业园二期项目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49</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三亚崖州湾科技城南海资源保护开发与利用产业创新平台</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50</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南京农业大学大豆园艺作物种质创新中心项目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51</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sz w:val="22"/>
              </w:rPr>
            </w:pPr>
            <w:r>
              <w:rPr>
                <w:rFonts w:hint="default" w:ascii="Times New Roman" w:hAnsi="Times New Roman" w:cs="Times New Roman"/>
                <w:sz w:val="22"/>
              </w:rPr>
              <w:t>三亚市公安局崖州分局值班备勤楼及配套设施项目工程</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黄级</w:t>
            </w:r>
          </w:p>
        </w:tc>
      </w:tr>
    </w:tbl>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ascii="Times New Roman" w:hAnsi="Times New Roman" w:eastAsia="仿宋_GB2312" w:cs="Times New Roman"/>
          <w:sz w:val="32"/>
          <w:szCs w:val="32"/>
        </w:rPr>
        <w:t>表2.三亚</w:t>
      </w:r>
      <w:r>
        <w:rPr>
          <w:rFonts w:hint="eastAsia" w:ascii="仿宋_GB2312" w:eastAsia="仿宋_GB2312"/>
          <w:sz w:val="32"/>
          <w:szCs w:val="32"/>
        </w:rPr>
        <w:t>崖州湾科技城建设工程项目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33" w:tblpY="602"/>
        <w:tblOverlap w:val="never"/>
        <w:tblW w:w="9780" w:type="dxa"/>
        <w:tblInd w:w="0" w:type="dxa"/>
        <w:tblLayout w:type="fixed"/>
        <w:tblCellMar>
          <w:top w:w="0" w:type="dxa"/>
          <w:left w:w="108" w:type="dxa"/>
          <w:bottom w:w="0" w:type="dxa"/>
          <w:right w:w="108" w:type="dxa"/>
        </w:tblCellMar>
      </w:tblPr>
      <w:tblGrid>
        <w:gridCol w:w="720"/>
        <w:gridCol w:w="7072"/>
        <w:gridCol w:w="1988"/>
      </w:tblGrid>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7072"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98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评定等级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三亚崖州湾科技城9号路道路工程项目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三亚崖州湾科技城12号路B段道路工程项目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三亚崖州湾科技城14号路道路工程项目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三亚崖州湾南繁科技城综保障区南山花园片区路网项目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南繁科技城综合服务保障区兴滨片区路网项目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三亚崖州湾科技城创元路道路工程</w:t>
            </w:r>
          </w:p>
        </w:tc>
        <w:tc>
          <w:tcPr>
            <w:tcW w:w="1988" w:type="dxa"/>
            <w:tcBorders>
              <w:top w:val="single" w:color="auto" w:sz="4" w:space="0"/>
              <w:left w:val="single" w:color="auto" w:sz="4" w:space="0"/>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南繁科技城综合服务保障区南滨片区路网项目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三亚市崖州中心渔港片区路网建设一期工程项目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三亚崖州湾科教城综合路网（二期）项目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三亚崖州湾科技城生物谷外围道路一期</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三亚市崖州中心渔港片区路网建设二期工程项目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南繁科技城街道生态修复工程设计、施工总承包（EPC）</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三亚崖州湾科教城综合路网（一期）项目（一标段）道路建设工程项目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三亚崖州湾科技城综合路网一期项目（二标段）项目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海垦佳元·海阔天城商业项目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南海地质科技创新基地（一期）项目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三亚国际建筑节能创新中心</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三亚嘉仕温德姆海景酒店项目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三亚空管站空管设施设备建设工程项目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三亚崖州湾南繁科技城区域集中供冷项目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707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三亚崖州湾深海科技城智慧综合能源服务项目</w:t>
            </w:r>
          </w:p>
        </w:tc>
        <w:tc>
          <w:tcPr>
            <w:tcW w:w="1988" w:type="dxa"/>
            <w:tcBorders>
              <w:top w:val="nil"/>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南山港科考服务体系一期项目设计、施工总承包（EPC）</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保利崖州湾科技城会议中心项目二期（不含精装修）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海缆保障能力建设项目（功能保障区）</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三亚国康家园自持性租赁住房（一期）项目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三亚崖州湾科技城科教城深海科技创新公共平台项目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三亚崖州湾科技城危险化学品中转站建设工程项目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招商臻园项目总承包工程一标段</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种业创新中心项目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国际玉米技术创新与成果转化中心建设项目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国家耐盐碱水稻技术创新合作平台项目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海南全健康（兽医公共卫生）研究中心建设项目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全球动植物种质资源鉴定评价及确权交换中心项目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海南省人工智能计算中心建设项目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综合服务中心项目YK03-06-13地块酒店客房精装工程</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珊瑚礁保护与利用资源创新中心室内装修工程</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37</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三亚崖州湾科技城南滨安置区项目</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r>
        <w:tblPrEx>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38</w:t>
            </w:r>
          </w:p>
        </w:tc>
        <w:tc>
          <w:tcPr>
            <w:tcW w:w="70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三亚崖州湾科技城南山安置区项目（二期）</w:t>
            </w:r>
          </w:p>
        </w:tc>
        <w:tc>
          <w:tcPr>
            <w:tcW w:w="1988" w:type="dxa"/>
            <w:tcBorders>
              <w:top w:val="single" w:color="auto" w:sz="4" w:space="0"/>
              <w:left w:val="nil"/>
              <w:bottom w:val="single" w:color="auto" w:sz="4" w:space="0"/>
              <w:right w:val="single" w:color="auto" w:sz="4" w:space="0"/>
            </w:tcBorders>
            <w:shd w:val="clear" w:color="000000" w:fill="00B0F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color w:val="000000"/>
                <w:sz w:val="22"/>
              </w:rPr>
            </w:pPr>
            <w:r>
              <w:rPr>
                <w:rFonts w:hint="eastAsia"/>
                <w:color w:val="000000"/>
                <w:sz w:val="22"/>
              </w:rPr>
              <w:t>蓝级</w:t>
            </w:r>
          </w:p>
        </w:tc>
      </w:tr>
    </w:tbl>
    <w:p>
      <w:pPr>
        <w:keepNext w:val="0"/>
        <w:keepLines w:val="0"/>
        <w:pageBreakBefore w:val="0"/>
        <w:kinsoku/>
        <w:wordWrap/>
        <w:overflowPunct/>
        <w:topLinePunct w:val="0"/>
        <w:autoSpaceDE/>
        <w:autoSpaceDN/>
        <w:bidi w:val="0"/>
        <w:adjustRightInd/>
        <w:snapToGrid/>
        <w:spacing w:line="578" w:lineRule="exact"/>
        <w:ind w:left="640"/>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黑体" w:hAnsi="黑体" w:eastAsia="黑体" w:cs="黑体"/>
          <w:sz w:val="32"/>
          <w:szCs w:val="32"/>
        </w:rPr>
      </w:pPr>
      <w:r>
        <w:rPr>
          <w:rFonts w:ascii="黑体" w:hAnsi="黑体" w:eastAsia="黑体" w:cs="黑体"/>
          <w:sz w:val="32"/>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监管措施</w:t>
      </w:r>
    </w:p>
    <w:p>
      <w:pPr>
        <w:pStyle w:val="8"/>
        <w:keepNext w:val="0"/>
        <w:keepLines w:val="0"/>
        <w:pageBreakBefore w:val="0"/>
        <w:kinsoku/>
        <w:wordWrap/>
        <w:overflowPunct/>
        <w:topLinePunct w:val="0"/>
        <w:autoSpaceDE/>
        <w:autoSpaceDN/>
        <w:bidi w:val="0"/>
        <w:adjustRightInd/>
        <w:snapToGrid/>
        <w:spacing w:line="578" w:lineRule="exact"/>
        <w:ind w:firstLine="640"/>
        <w:textAlignment w:val="auto"/>
        <w:rPr>
          <w:rFonts w:ascii="仿宋_GB2312" w:eastAsia="仿宋_GB2312"/>
          <w:sz w:val="32"/>
          <w:szCs w:val="32"/>
        </w:rPr>
      </w:pPr>
      <w:r>
        <w:rPr>
          <w:rFonts w:hint="default" w:ascii="Times New Roman" w:hAnsi="Times New Roman" w:eastAsia="仿宋_GB2312" w:cs="Times New Roman"/>
          <w:sz w:val="32"/>
          <w:szCs w:val="32"/>
        </w:rPr>
        <w:t>根据《建筑工程安全风险“红黄蓝”分级管理方案》（三科技城〔2023〕43号）文件要求，项目监督员将采取不定期的、事先不通知的突击性抽查方式</w:t>
      </w:r>
      <w:r>
        <w:rPr>
          <w:rFonts w:hint="eastAsia" w:ascii="仿宋_GB2312" w:eastAsia="仿宋_GB2312"/>
          <w:sz w:val="32"/>
          <w:szCs w:val="32"/>
        </w:rPr>
        <w:t>进行监督巡回抽查。监督机构实行差别化</w:t>
      </w:r>
      <w:r>
        <w:rPr>
          <w:rFonts w:hint="eastAsia" w:ascii="仿宋_GB2312" w:eastAsia="仿宋_GB2312"/>
          <w:sz w:val="32"/>
          <w:szCs w:val="32"/>
          <w:lang w:eastAsia="zh-CN"/>
        </w:rPr>
        <w:t>监督</w:t>
      </w:r>
      <w:bookmarkStart w:id="0" w:name="_GoBack"/>
      <w:bookmarkEnd w:id="0"/>
      <w:r>
        <w:rPr>
          <w:rFonts w:hint="eastAsia" w:ascii="仿宋_GB2312" w:eastAsia="仿宋_GB2312"/>
          <w:sz w:val="32"/>
          <w:szCs w:val="32"/>
        </w:rPr>
        <w:t>管理，对于评审为“蓝级”的工程项目，日常监管以智慧工地线上管控预警闭环为主，现场巡查按照季度评估的形式开展；对于评审为“黄级”的工程项目，巡查不少于每两月一次。监督管理人员随机抽查整改情况并对质量安全问题整改回复真实性进行复核；对于评审为“红级”的工程项目，巡查不少于每月一次。监督管理人员全部复查整改情况，对质量安全问题整改回复真实性进行复核，按风险增加巡查次数。</w:t>
      </w:r>
    </w:p>
    <w:p>
      <w:pPr>
        <w:keepNext w:val="0"/>
        <w:keepLines w:val="0"/>
        <w:pageBreakBefore w:val="0"/>
        <w:numPr>
          <w:ilvl w:val="0"/>
          <w:numId w:val="0"/>
        </w:numPr>
        <w:kinsoku/>
        <w:wordWrap/>
        <w:overflowPunct/>
        <w:topLinePunct w:val="0"/>
        <w:autoSpaceDE/>
        <w:autoSpaceDN/>
        <w:bidi w:val="0"/>
        <w:adjustRightInd/>
        <w:snapToGrid/>
        <w:spacing w:line="578" w:lineRule="exact"/>
        <w:ind w:left="640" w:leftChars="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分级考核管理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我局将对“红（黄）级”警示的项目，强化监管考核问责措施，促进整改落实到位。</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“红（黄）级”警示情况纳入年度评估考核内容被评为“红级”的项目，进行评估负面清单扣分。</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针对连续两次及以上进入“红级”，或被“红级”警示一次及以上且限期内未整改到位的项目，要求更换项目经理或总监。同时，约谈总包、监理上级单位负责人，并由总包单位上级公司组建督导组进驻现场指导工作。</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对于检查的问题项目无故不整改，</w:t>
      </w:r>
      <w:r>
        <w:rPr>
          <w:rFonts w:ascii="Times New Roman" w:hAnsi="Times New Roman" w:eastAsia="仿宋_GB2312" w:cs="Times New Roman"/>
          <w:sz w:val="32"/>
          <w:szCs w:val="32"/>
        </w:rPr>
        <w:t>或超期3天</w:t>
      </w:r>
      <w:r>
        <w:rPr>
          <w:rFonts w:hint="eastAsia" w:ascii="仿宋_GB2312" w:eastAsia="仿宋_GB2312"/>
          <w:sz w:val="32"/>
          <w:szCs w:val="32"/>
        </w:rPr>
        <w:t>未回复的项目，进行提级管控，即原定蓝级项目升级为黄级，原定黄级项目升级为红级进行处理。进行园区内通报并同步移交执法。</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对于同一问题屡次触犯，或存在其他违法违规行为，被我局认定为情节恶劣的，按照相关文件采取扣除诚信分、列入失信名单等相关措施。</w:t>
      </w:r>
    </w:p>
    <w:p>
      <w:pPr>
        <w:keepNext w:val="0"/>
        <w:keepLines w:val="0"/>
        <w:pageBreakBefore w:val="0"/>
        <w:kinsoku/>
        <w:wordWrap/>
        <w:overflowPunct/>
        <w:topLinePunct w:val="0"/>
        <w:autoSpaceDE/>
        <w:autoSpaceDN/>
        <w:bidi w:val="0"/>
        <w:adjustRightInd/>
        <w:snapToGrid/>
        <w:spacing w:line="578" w:lineRule="exact"/>
        <w:textAlignment w:val="auto"/>
      </w:pPr>
    </w:p>
    <w:p>
      <w:pPr>
        <w:keepNext w:val="0"/>
        <w:keepLines w:val="0"/>
        <w:pageBreakBefore w:val="0"/>
        <w:kinsoku/>
        <w:wordWrap/>
        <w:overflowPunct/>
        <w:topLinePunct w:val="0"/>
        <w:autoSpaceDE/>
        <w:autoSpaceDN/>
        <w:bidi w:val="0"/>
        <w:adjustRightInd/>
        <w:snapToGrid/>
        <w:spacing w:line="578"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NzQ4NTRmNjVkOTRjMDQ1YWM0NzVlMmFlMTJlNGMifQ=="/>
  </w:docVars>
  <w:rsids>
    <w:rsidRoot w:val="00000000"/>
    <w:rsid w:val="24285E74"/>
    <w:rsid w:val="35BFB4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List Paragraph_9e5084ea-8e46-4dad-bc92-1014477c613f"/>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长沙市岳麓区云风计算机修理服务部</Company>
  <Pages>8</Pages>
  <Words>2783</Words>
  <Characters>2935</Characters>
  <Paragraphs>391</Paragraphs>
  <TotalTime>6</TotalTime>
  <ScaleCrop>false</ScaleCrop>
  <LinksUpToDate>false</LinksUpToDate>
  <CharactersWithSpaces>2936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2024-04-03T01:22:00Z</dcterms:created>
  <dc:creator>红</dc:creator>
  <cp:lastModifiedBy>小贤</cp:lastModifiedBy>
  <dcterms:modified xsi:type="dcterms:W3CDTF">2024-05-14T09:29:45Z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D57D7B3BA452EBAD8AB9386667DFBA07</vt:lpwstr>
  </property>
  <property fmtid="{D5CDD505-2E9C-101B-9397-08002B2CF9AE}" pid="3" name="KSOProductBuildVer">
    <vt:lpwstr>2052-12.1.0.16729</vt:lpwstr>
  </property>
</Properties>
</file>