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jc w:val="both"/>
        <w:rPr>
          <w:rFonts w:hint="default" w:ascii="黑体" w:hAnsi="黑体" w:eastAsia="黑体" w:cs="黑体"/>
          <w:sz w:val="32"/>
          <w:szCs w:val="32"/>
          <w:lang w:val="en-US" w:eastAsia="zh-CN"/>
        </w:rPr>
      </w:pPr>
    </w:p>
    <w:p>
      <w:pPr>
        <w:pStyle w:val="3"/>
        <w:rPr>
          <w:rFonts w:hint="default" w:ascii="方正小标宋简体" w:hAnsi="方正小标宋简体" w:eastAsia="方正小标宋简体"/>
        </w:rPr>
      </w:pPr>
      <w:r>
        <w:rPr>
          <w:rFonts w:hint="default" w:ascii="方正小标宋简体" w:hAnsi="方正小标宋简体" w:eastAsia="方正小标宋简体"/>
        </w:rPr>
        <w:t>《</w:t>
      </w:r>
      <w:r>
        <w:rPr>
          <w:rFonts w:hint="eastAsia" w:ascii="方正小标宋简体" w:hAnsi="方正小标宋简体" w:eastAsia="方正小标宋简体"/>
          <w:lang w:eastAsia="zh-CN"/>
        </w:rPr>
        <w:t>三亚崖州湾科技城管理局为企业办理进境植物繁殖材料特许审批提供科研立项证明的办法（试行）</w:t>
      </w:r>
      <w:r>
        <w:rPr>
          <w:rFonts w:hint="default" w:ascii="方正小标宋简体" w:hAnsi="方正小标宋简体" w:eastAsia="方正小标宋简体"/>
        </w:rPr>
        <w:t>》起草说明</w:t>
      </w:r>
    </w:p>
    <w:p>
      <w:pPr>
        <w:spacing w:line="578" w:lineRule="exact"/>
        <w:rPr>
          <w:rFonts w:ascii="Times New Roman" w:hAnsi="Times New Roman"/>
          <w:sz w:val="44"/>
          <w:szCs w:val="44"/>
        </w:rPr>
      </w:pPr>
    </w:p>
    <w:p>
      <w:pPr>
        <w:spacing w:line="578" w:lineRule="exact"/>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黑体" w:hAnsi="黑体" w:eastAsia="黑体" w:cs="黑体"/>
          <w:sz w:val="32"/>
          <w:szCs w:val="32"/>
        </w:rPr>
        <w:t xml:space="preserve"> </w:t>
      </w:r>
      <w:r>
        <w:rPr>
          <w:rFonts w:hint="eastAsia" w:ascii="仿宋_GB2312" w:hAnsi="仿宋_GB2312" w:eastAsia="仿宋_GB2312" w:cs="仿宋_GB2312"/>
          <w:b/>
          <w:bCs/>
          <w:sz w:val="32"/>
        </w:rPr>
        <w:t xml:space="preserve">  </w:t>
      </w:r>
      <w:r>
        <w:rPr>
          <w:rFonts w:hint="eastAsia" w:ascii="黑体" w:hAnsi="黑体" w:eastAsia="黑体" w:cs="黑体"/>
          <w:sz w:val="32"/>
          <w:szCs w:val="32"/>
        </w:rPr>
        <w:t>一、起草的背景和原因</w:t>
      </w:r>
    </w:p>
    <w:p>
      <w:pPr>
        <w:spacing w:line="578" w:lineRule="exact"/>
        <w:ind w:firstLine="640" w:firstLineChars="200"/>
        <w:rPr>
          <w:rFonts w:ascii="Times New Roman" w:hAnsi="Times New Roman" w:eastAsia="仿宋_GB2312"/>
          <w:sz w:val="32"/>
          <w:szCs w:val="32"/>
          <w:lang w:bidi="ar"/>
        </w:rPr>
      </w:pPr>
      <w:r>
        <w:rPr>
          <w:rFonts w:hint="eastAsia" w:ascii="Times New Roman" w:hAnsi="Times New Roman" w:eastAsia="仿宋_GB2312"/>
          <w:sz w:val="32"/>
          <w:szCs w:val="32"/>
          <w:lang w:bidi="ar"/>
        </w:rPr>
        <w:t>企业主体是开展南繁科研育种工作的主力军，是种业创新的重要力量，对从境外引进植物繁殖材料开展科研有较大需求。而当前，企业因自主科学研究需要从国外引进禁止进境植物繁殖材料，在办理特许审批申请环节中提供科研立项证明存在困难。</w:t>
      </w:r>
    </w:p>
    <w:p>
      <w:pPr>
        <w:spacing w:line="578" w:lineRule="exact"/>
        <w:ind w:firstLine="640" w:firstLineChars="200"/>
        <w:rPr>
          <w:rFonts w:ascii="Times New Roman" w:hAnsi="Times New Roman" w:eastAsia="仿宋_GB2312"/>
          <w:sz w:val="32"/>
          <w:szCs w:val="32"/>
          <w:lang w:bidi="ar"/>
        </w:rPr>
      </w:pPr>
      <w:r>
        <w:rPr>
          <w:rFonts w:ascii="Times New Roman" w:hAnsi="Times New Roman" w:eastAsia="仿宋_GB2312"/>
          <w:sz w:val="32"/>
          <w:szCs w:val="32"/>
          <w:lang w:bidi="ar"/>
        </w:rPr>
        <w:t>在海关总署支持下，三亚崖州湾科技城管理局</w:t>
      </w:r>
      <w:r>
        <w:rPr>
          <w:rFonts w:hint="eastAsia" w:ascii="Times New Roman" w:hAnsi="Times New Roman" w:eastAsia="仿宋_GB2312"/>
          <w:sz w:val="32"/>
          <w:szCs w:val="32"/>
          <w:lang w:eastAsia="zh-CN" w:bidi="ar"/>
        </w:rPr>
        <w:t>（</w:t>
      </w:r>
      <w:r>
        <w:rPr>
          <w:rFonts w:hint="eastAsia" w:ascii="Times New Roman" w:hAnsi="Times New Roman" w:eastAsia="仿宋_GB2312"/>
          <w:sz w:val="32"/>
          <w:szCs w:val="32"/>
          <w:lang w:val="en-US" w:eastAsia="zh-CN" w:bidi="ar"/>
        </w:rPr>
        <w:t>以下简称“管理局”</w:t>
      </w:r>
      <w:r>
        <w:rPr>
          <w:rFonts w:hint="eastAsia" w:ascii="Times New Roman" w:hAnsi="Times New Roman" w:eastAsia="仿宋_GB2312"/>
          <w:sz w:val="32"/>
          <w:szCs w:val="32"/>
          <w:lang w:eastAsia="zh-CN" w:bidi="ar"/>
        </w:rPr>
        <w:t>）</w:t>
      </w:r>
      <w:r>
        <w:rPr>
          <w:rFonts w:ascii="Times New Roman" w:hAnsi="Times New Roman" w:eastAsia="仿宋_GB2312"/>
          <w:sz w:val="32"/>
          <w:szCs w:val="32"/>
          <w:lang w:bidi="ar"/>
        </w:rPr>
        <w:t>协同海口海关，成功推动国内首单企业特许审批引种业务落地。同时，海关总署同意海口海关，对企业特许审批申请提交由管理局</w:t>
      </w:r>
      <w:r>
        <w:rPr>
          <w:rFonts w:hint="eastAsia" w:ascii="Times New Roman" w:hAnsi="Times New Roman" w:eastAsia="仿宋_GB2312"/>
          <w:sz w:val="32"/>
          <w:szCs w:val="32"/>
          <w:lang w:val="en-US" w:eastAsia="zh-CN" w:bidi="ar"/>
        </w:rPr>
        <w:t>出具的</w:t>
      </w:r>
      <w:r>
        <w:rPr>
          <w:rFonts w:ascii="Times New Roman" w:hAnsi="Times New Roman" w:eastAsia="仿宋_GB2312"/>
          <w:sz w:val="32"/>
          <w:szCs w:val="32"/>
          <w:lang w:bidi="ar"/>
        </w:rPr>
        <w:t>科研立项证明予以认可。为夯实“首单”业务成果，加快推进全球动植物种质资源引进中转基地建设，鼓励企业自主研发，规范为企业特许审批引种提供科研立项证明的服务工作，</w:t>
      </w:r>
      <w:r>
        <w:rPr>
          <w:rFonts w:hint="eastAsia" w:ascii="Times New Roman" w:hAnsi="Times New Roman" w:eastAsia="仿宋_GB2312"/>
          <w:sz w:val="32"/>
          <w:szCs w:val="32"/>
          <w:lang w:val="en-US" w:eastAsia="zh-CN" w:bidi="ar"/>
        </w:rPr>
        <w:t>特</w:t>
      </w:r>
      <w:r>
        <w:rPr>
          <w:rFonts w:ascii="Times New Roman" w:hAnsi="Times New Roman" w:eastAsia="仿宋_GB2312"/>
          <w:sz w:val="32"/>
          <w:szCs w:val="32"/>
          <w:lang w:bidi="ar"/>
        </w:rPr>
        <w:t>制定《</w:t>
      </w:r>
      <w:r>
        <w:rPr>
          <w:rFonts w:hint="eastAsia" w:ascii="Times New Roman" w:hAnsi="Times New Roman" w:eastAsia="仿宋_GB2312"/>
          <w:sz w:val="32"/>
          <w:szCs w:val="32"/>
          <w:lang w:eastAsia="zh-CN" w:bidi="ar"/>
        </w:rPr>
        <w:t>三亚崖州湾科技城管理局为企业办理进境植物繁殖材料特许审批提供科研立项证明的办法（试行）</w:t>
      </w:r>
      <w:r>
        <w:rPr>
          <w:rFonts w:ascii="Times New Roman" w:hAnsi="Times New Roman" w:eastAsia="仿宋_GB2312"/>
          <w:sz w:val="32"/>
          <w:szCs w:val="32"/>
          <w:lang w:bidi="ar"/>
        </w:rPr>
        <w:t>》（以下简称</w:t>
      </w:r>
      <w:r>
        <w:rPr>
          <w:rFonts w:hint="eastAsia" w:ascii="Times New Roman" w:hAnsi="Times New Roman" w:eastAsia="仿宋_GB2312"/>
          <w:sz w:val="32"/>
          <w:szCs w:val="32"/>
          <w:lang w:eastAsia="zh-CN" w:bidi="ar"/>
        </w:rPr>
        <w:t>《办法》</w:t>
      </w:r>
      <w:r>
        <w:rPr>
          <w:rFonts w:ascii="Times New Roman" w:hAnsi="Times New Roman" w:eastAsia="仿宋_GB2312"/>
          <w:sz w:val="32"/>
          <w:szCs w:val="32"/>
          <w:lang w:bidi="ar"/>
        </w:rPr>
        <w:t>）。</w:t>
      </w:r>
    </w:p>
    <w:p>
      <w:pPr>
        <w:spacing w:line="578" w:lineRule="exact"/>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rPr>
        <w:t>二、起草的依据</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本次起草主要依据《进境动植物检疫审批管理办法（2023年修订）</w:t>
      </w:r>
      <w:r>
        <w:rPr>
          <w:rFonts w:hint="eastAsia" w:ascii="Times New Roman" w:hAnsi="Times New Roman" w:eastAsia="仿宋_GB2312"/>
          <w:sz w:val="32"/>
          <w:szCs w:val="32"/>
          <w:lang w:eastAsia="zh-CN"/>
        </w:rPr>
        <w:t>》《</w:t>
      </w:r>
      <w:r>
        <w:rPr>
          <w:rFonts w:ascii="Times New Roman" w:hAnsi="Times New Roman" w:eastAsia="仿宋_GB2312"/>
          <w:sz w:val="32"/>
          <w:szCs w:val="32"/>
        </w:rPr>
        <w:t>进境植物繁殖材料检疫管理办法（2018年5月修订）</w:t>
      </w:r>
      <w:r>
        <w:rPr>
          <w:rFonts w:hint="eastAsia" w:ascii="Times New Roman" w:hAnsi="Times New Roman" w:eastAsia="仿宋_GB2312"/>
          <w:sz w:val="32"/>
          <w:szCs w:val="32"/>
          <w:lang w:eastAsia="zh-CN"/>
        </w:rPr>
        <w:t>》《</w:t>
      </w:r>
      <w:r>
        <w:rPr>
          <w:rFonts w:ascii="Times New Roman" w:hAnsi="Times New Roman" w:eastAsia="仿宋_GB2312"/>
          <w:sz w:val="32"/>
          <w:szCs w:val="32"/>
        </w:rPr>
        <w:t>海南自由贸易港三亚崖州湾科技城条例》，以及参考《海南省省级财政科技项目立项评审工作细则》（琼科规〔2022〕29号）、《广东省科技计划项目监督规定》（广东省人民政府令第271号）、《广西自治区本级自筹经费科技项目管理办法（试行）》（桂科政字〔2020〕59号）、《佛山市自筹经费类科技创新项目管理办法》（佛科〔2022〕2号）等相关法律法规和有关规定，结合三亚崖州湾科技城实际，制定实施本</w:t>
      </w:r>
      <w:r>
        <w:rPr>
          <w:rFonts w:hint="eastAsia" w:ascii="Times New Roman" w:hAnsi="Times New Roman" w:eastAsia="仿宋_GB2312"/>
          <w:sz w:val="32"/>
          <w:szCs w:val="32"/>
          <w:lang w:eastAsia="zh-CN"/>
        </w:rPr>
        <w:t>《</w:t>
      </w:r>
      <w:r>
        <w:rPr>
          <w:rFonts w:ascii="Times New Roman" w:hAnsi="Times New Roman" w:eastAsia="仿宋_GB2312"/>
          <w:sz w:val="32"/>
          <w:szCs w:val="32"/>
        </w:rPr>
        <w:t>办法</w:t>
      </w:r>
      <w:r>
        <w:rPr>
          <w:rFonts w:hint="eastAsia" w:ascii="Times New Roman" w:hAnsi="Times New Roman" w:eastAsia="仿宋_GB2312"/>
          <w:sz w:val="32"/>
          <w:szCs w:val="32"/>
          <w:lang w:eastAsia="zh-CN"/>
        </w:rPr>
        <w:t>》</w:t>
      </w:r>
      <w:r>
        <w:rPr>
          <w:rFonts w:ascii="Times New Roman" w:hAnsi="Times New Roman" w:eastAsia="仿宋_GB2312"/>
          <w:sz w:val="32"/>
          <w:szCs w:val="32"/>
        </w:rPr>
        <w:t>。</w:t>
      </w:r>
    </w:p>
    <w:p>
      <w:pPr>
        <w:spacing w:line="578" w:lineRule="exact"/>
        <w:ind w:firstLine="640" w:firstLineChars="200"/>
        <w:rPr>
          <w:rFonts w:ascii="Times New Roman" w:hAnsi="Times New Roman" w:eastAsia="黑体"/>
          <w:b/>
          <w:bCs/>
          <w:sz w:val="32"/>
          <w:szCs w:val="32"/>
        </w:rPr>
      </w:pPr>
      <w:r>
        <w:rPr>
          <w:rFonts w:hint="eastAsia" w:ascii="黑体" w:hAnsi="黑体" w:eastAsia="黑体" w:cs="黑体"/>
          <w:sz w:val="32"/>
          <w:szCs w:val="32"/>
        </w:rPr>
        <w:t>三、征求和采纳意见的情况</w:t>
      </w:r>
    </w:p>
    <w:p>
      <w:pPr>
        <w:spacing w:line="578"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本办法已向海口海关、省科技厅、三亚市司法局等相关部门征求意见，并按照相关建议进行修改完善，主要意见情况如下：</w:t>
      </w:r>
    </w:p>
    <w:p>
      <w:pPr>
        <w:keepNext w:val="0"/>
        <w:keepLines w:val="0"/>
        <w:pageBreakBefore w:val="0"/>
        <w:numPr>
          <w:ilvl w:val="0"/>
          <w:numId w:val="1"/>
        </w:numPr>
        <w:kinsoku/>
        <w:wordWrap/>
        <w:overflowPunct/>
        <w:topLinePunct w:val="0"/>
        <w:autoSpaceDE/>
        <w:autoSpaceDN/>
        <w:bidi w:val="0"/>
        <w:adjustRightInd/>
        <w:snapToGrid w:val="0"/>
        <w:spacing w:afterLines="0"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《办法》</w:t>
      </w:r>
      <w:r>
        <w:rPr>
          <w:rFonts w:hint="eastAsia" w:ascii="Times New Roman" w:hAnsi="Times New Roman" w:eastAsia="仿宋_GB2312" w:cs="Times New Roman"/>
          <w:sz w:val="32"/>
          <w:szCs w:val="32"/>
          <w:lang w:val="en-US" w:eastAsia="zh-CN"/>
        </w:rPr>
        <w:t>第六条规定申请材料包括“</w:t>
      </w:r>
      <w:r>
        <w:rPr>
          <w:rFonts w:ascii="Times New Roman" w:hAnsi="Times New Roman" w:eastAsia="仿宋_GB2312" w:cs="Times New Roman"/>
          <w:sz w:val="32"/>
          <w:szCs w:val="32"/>
        </w:rPr>
        <w:t>科研项目计划书（计划书参考提纲由管理局统一制定，一般包括</w:t>
      </w:r>
      <w:r>
        <w:rPr>
          <w:rFonts w:hint="eastAsia" w:ascii="Times New Roman" w:hAnsi="Times New Roman" w:eastAsia="仿宋_GB2312" w:cs="Times New Roman"/>
          <w:sz w:val="32"/>
          <w:szCs w:val="32"/>
        </w:rPr>
        <w:t>科研</w:t>
      </w:r>
      <w:r>
        <w:rPr>
          <w:rFonts w:ascii="Times New Roman" w:hAnsi="Times New Roman" w:eastAsia="仿宋_GB2312" w:cs="Times New Roman"/>
          <w:sz w:val="32"/>
          <w:szCs w:val="32"/>
        </w:rPr>
        <w:t>目的、</w:t>
      </w:r>
      <w:r>
        <w:rPr>
          <w:rFonts w:hint="eastAsia" w:ascii="Times New Roman" w:hAnsi="Times New Roman" w:eastAsia="仿宋_GB2312" w:cs="Times New Roman"/>
          <w:sz w:val="32"/>
          <w:szCs w:val="32"/>
        </w:rPr>
        <w:t>科研</w:t>
      </w:r>
      <w:r>
        <w:rPr>
          <w:rFonts w:ascii="Times New Roman" w:hAnsi="Times New Roman" w:eastAsia="仿宋_GB2312" w:cs="Times New Roman"/>
          <w:sz w:val="32"/>
          <w:szCs w:val="32"/>
        </w:rPr>
        <w:t>内容、</w:t>
      </w:r>
      <w:r>
        <w:rPr>
          <w:rFonts w:hint="eastAsia" w:ascii="Times New Roman" w:hAnsi="Times New Roman" w:eastAsia="仿宋_GB2312" w:cs="Times New Roman"/>
          <w:sz w:val="32"/>
          <w:szCs w:val="32"/>
        </w:rPr>
        <w:t>科研</w:t>
      </w:r>
      <w:r>
        <w:rPr>
          <w:rFonts w:ascii="Times New Roman" w:hAnsi="Times New Roman" w:eastAsia="仿宋_GB2312" w:cs="Times New Roman"/>
          <w:sz w:val="32"/>
          <w:szCs w:val="32"/>
        </w:rPr>
        <w:t>方式、科研</w:t>
      </w:r>
      <w:r>
        <w:rPr>
          <w:rFonts w:hint="eastAsia" w:ascii="Times New Roman" w:hAnsi="Times New Roman" w:eastAsia="仿宋_GB2312" w:cs="Times New Roman"/>
          <w:sz w:val="32"/>
          <w:szCs w:val="32"/>
          <w:lang w:val="en-US" w:eastAsia="zh-CN"/>
        </w:rPr>
        <w:t>项目</w:t>
      </w:r>
      <w:r>
        <w:rPr>
          <w:rFonts w:ascii="Times New Roman" w:hAnsi="Times New Roman" w:eastAsia="仿宋_GB2312" w:cs="Times New Roman"/>
          <w:sz w:val="32"/>
          <w:szCs w:val="32"/>
        </w:rPr>
        <w:t>场址、项目成员介绍及与完成该科研项目所需能力的匹配情况、经费来源与经费投入保障措施说明、</w:t>
      </w:r>
      <w:r>
        <w:rPr>
          <w:rFonts w:hint="eastAsia" w:ascii="Times New Roman" w:hAnsi="Times New Roman" w:eastAsia="仿宋_GB2312" w:cs="Times New Roman"/>
          <w:sz w:val="32"/>
          <w:szCs w:val="32"/>
        </w:rPr>
        <w:t>科研</w:t>
      </w:r>
      <w:r>
        <w:rPr>
          <w:rFonts w:ascii="Times New Roman" w:hAnsi="Times New Roman" w:eastAsia="仿宋_GB2312" w:cs="Times New Roman"/>
          <w:sz w:val="32"/>
          <w:szCs w:val="32"/>
        </w:rPr>
        <w:t>进度安排、项目实施期、科研项目组织管理安排、支持材料附件清单等）</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海关相关部门建议应重点评估科研项目实施单位的软硬件考核和实验室生物安全管理制度等要求是否能够有效防范生物安全风险，建议科研项目计划书添加“</w:t>
      </w:r>
      <w:r>
        <w:rPr>
          <w:rFonts w:hint="eastAsia" w:ascii="Times New Roman" w:hAnsi="Times New Roman" w:eastAsia="仿宋_GB2312" w:cs="Times New Roman"/>
          <w:sz w:val="32"/>
          <w:szCs w:val="32"/>
        </w:rPr>
        <w:t>进境植物繁殖材料的科研用途</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生物安全管理制度”内容。相关意见已采纳。</w:t>
      </w:r>
    </w:p>
    <w:p>
      <w:pPr>
        <w:pStyle w:val="2"/>
        <w:numPr>
          <w:ilvl w:val="0"/>
          <w:numId w:val="1"/>
        </w:numPr>
        <w:ind w:left="0" w:leftChars="0"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《办法》</w:t>
      </w:r>
      <w:r>
        <w:rPr>
          <w:rFonts w:hint="eastAsia" w:ascii="Times New Roman" w:hAnsi="Times New Roman" w:eastAsia="仿宋_GB2312" w:cs="Times New Roman"/>
          <w:sz w:val="32"/>
          <w:szCs w:val="32"/>
          <w:lang w:val="en-US" w:eastAsia="zh-CN"/>
        </w:rPr>
        <w:t>第十二条、第十三条项目评审相关规定，因可能涉及省外专家，专家赴现场开展核查、会议时间、经济成本较高，由管理局按专家要求开展组织材料预审、现场核查工作，专家可以现场考察、视频连线等方式参与；同时，不在《办法》内明确要求专家召开现场会议。相关意见已采纳。</w:t>
      </w:r>
    </w:p>
    <w:p>
      <w:pPr>
        <w:keepNext w:val="0"/>
        <w:keepLines w:val="0"/>
        <w:pageBreakBefore w:val="0"/>
        <w:numPr>
          <w:ilvl w:val="0"/>
          <w:numId w:val="0"/>
        </w:numPr>
        <w:kinsoku/>
        <w:wordWrap/>
        <w:overflowPunct/>
        <w:topLinePunct w:val="0"/>
        <w:autoSpaceDE/>
        <w:autoSpaceDN/>
        <w:bidi w:val="0"/>
        <w:adjustRightInd/>
        <w:snapToGrid w:val="0"/>
        <w:spacing w:afterLines="0"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lang w:eastAsia="zh-CN"/>
        </w:rPr>
        <w:t>）《办法》</w:t>
      </w:r>
      <w:r>
        <w:rPr>
          <w:rFonts w:hint="eastAsia" w:ascii="Times New Roman" w:hAnsi="Times New Roman" w:eastAsia="仿宋_GB2312" w:cs="Times New Roman"/>
          <w:sz w:val="32"/>
          <w:szCs w:val="32"/>
          <w:lang w:val="en-US" w:eastAsia="zh-CN"/>
        </w:rPr>
        <w:t>第十条规定“</w:t>
      </w:r>
      <w:r>
        <w:rPr>
          <w:rFonts w:hint="default" w:ascii="Times New Roman" w:hAnsi="Times New Roman" w:eastAsia="仿宋_GB2312" w:cs="Times New Roman"/>
          <w:sz w:val="32"/>
          <w:szCs w:val="32"/>
        </w:rPr>
        <w:t>可邀请海关专家、植物检疫专家参与评审</w:t>
      </w:r>
      <w:r>
        <w:rPr>
          <w:rFonts w:hint="eastAsia" w:ascii="Times New Roman" w:hAnsi="Times New Roman" w:eastAsia="仿宋_GB2312" w:cs="Times New Roman"/>
          <w:sz w:val="32"/>
          <w:szCs w:val="32"/>
          <w:lang w:val="en-US" w:eastAsia="zh-CN"/>
        </w:rPr>
        <w:t>”，因海关专家在此环节不能代表海关参与科研立项评审工作，建议删除海关专家。相关意见已采纳。</w:t>
      </w:r>
    </w:p>
    <w:p>
      <w:pPr>
        <w:keepNext w:val="0"/>
        <w:keepLines w:val="0"/>
        <w:pageBreakBefore w:val="0"/>
        <w:numPr>
          <w:ilvl w:val="0"/>
          <w:numId w:val="0"/>
        </w:numPr>
        <w:kinsoku/>
        <w:wordWrap/>
        <w:overflowPunct/>
        <w:topLinePunct w:val="0"/>
        <w:autoSpaceDE/>
        <w:autoSpaceDN/>
        <w:bidi w:val="0"/>
        <w:adjustRightInd/>
        <w:snapToGrid w:val="0"/>
        <w:spacing w:afterLines="0" w:line="578" w:lineRule="exact"/>
        <w:ind w:firstLine="640" w:firstLineChars="200"/>
        <w:textAlignment w:val="auto"/>
        <w:rPr>
          <w:rFonts w:hint="eastAsia" w:asci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四</w:t>
      </w:r>
      <w:r>
        <w:rPr>
          <w:rFonts w:hint="eastAsia" w:ascii="Times New Roman" w:hAnsi="Times New Roman" w:eastAsia="仿宋_GB2312" w:cs="Times New Roman"/>
          <w:sz w:val="32"/>
          <w:szCs w:val="32"/>
          <w:lang w:eastAsia="zh-CN"/>
        </w:rPr>
        <w:t>）《办法》</w:t>
      </w:r>
      <w:r>
        <w:rPr>
          <w:rFonts w:hint="eastAsia" w:ascii="Times New Roman" w:hAnsi="Times New Roman" w:eastAsia="仿宋_GB2312" w:cs="Times New Roman"/>
          <w:sz w:val="32"/>
          <w:szCs w:val="32"/>
          <w:lang w:val="en-US" w:eastAsia="zh-CN"/>
        </w:rPr>
        <w:t>应加强对科研项目监管，要求</w:t>
      </w:r>
      <w:r>
        <w:rPr>
          <w:rFonts w:hint="eastAsia" w:ascii="Times New Roman" w:eastAsia="仿宋_GB2312" w:cs="Times New Roman"/>
          <w:sz w:val="32"/>
          <w:szCs w:val="32"/>
        </w:rPr>
        <w:t>企业</w:t>
      </w:r>
      <w:r>
        <w:rPr>
          <w:rFonts w:ascii="Times New Roman" w:eastAsia="仿宋_GB2312" w:cs="Times New Roman"/>
          <w:sz w:val="32"/>
          <w:szCs w:val="32"/>
        </w:rPr>
        <w:t>取得科研立项证明后，应</w:t>
      </w:r>
      <w:r>
        <w:rPr>
          <w:rFonts w:hint="eastAsia" w:ascii="Times New Roman" w:eastAsia="仿宋_GB2312" w:cs="Times New Roman"/>
          <w:sz w:val="32"/>
          <w:szCs w:val="32"/>
        </w:rPr>
        <w:t>依法律法规、科研项目计划书及信用承诺</w:t>
      </w:r>
      <w:r>
        <w:rPr>
          <w:rFonts w:ascii="Times New Roman" w:eastAsia="仿宋_GB2312" w:cs="Times New Roman"/>
          <w:sz w:val="32"/>
          <w:szCs w:val="32"/>
        </w:rPr>
        <w:t>开展特许审批引种和</w:t>
      </w:r>
      <w:r>
        <w:rPr>
          <w:rFonts w:hint="eastAsia" w:ascii="Times New Roman" w:eastAsia="仿宋_GB2312" w:cs="Times New Roman"/>
          <w:sz w:val="32"/>
          <w:szCs w:val="32"/>
        </w:rPr>
        <w:t>科研活动</w:t>
      </w:r>
      <w:r>
        <w:rPr>
          <w:rFonts w:hint="eastAsia" w:ascii="Times New Roman" w:eastAsia="仿宋_GB2312" w:cs="Times New Roman"/>
          <w:sz w:val="32"/>
          <w:szCs w:val="32"/>
          <w:lang w:eastAsia="zh-CN"/>
        </w:rPr>
        <w:t>。</w:t>
      </w:r>
      <w:r>
        <w:rPr>
          <w:rFonts w:hint="eastAsia" w:ascii="Times New Roman" w:eastAsia="仿宋_GB2312" w:cs="Times New Roman"/>
          <w:sz w:val="32"/>
          <w:szCs w:val="32"/>
          <w:lang w:val="en-US" w:eastAsia="zh-CN"/>
        </w:rPr>
        <w:t>相关意见已采纳。</w:t>
      </w:r>
    </w:p>
    <w:p>
      <w:pPr>
        <w:spacing w:line="578" w:lineRule="exact"/>
        <w:ind w:firstLine="640" w:firstLineChars="200"/>
        <w:rPr>
          <w:rFonts w:ascii="Times New Roman" w:hAnsi="Times New Roman" w:eastAsia="仿宋_GB2312"/>
          <w:b/>
          <w:bCs/>
          <w:sz w:val="32"/>
          <w:szCs w:val="32"/>
        </w:rPr>
      </w:pPr>
      <w:r>
        <w:rPr>
          <w:rFonts w:hint="eastAsia" w:ascii="黑体" w:hAnsi="黑体" w:eastAsia="黑体" w:cs="黑体"/>
          <w:sz w:val="32"/>
          <w:szCs w:val="32"/>
        </w:rPr>
        <w:t>四、起草的主要内容</w:t>
      </w:r>
    </w:p>
    <w:p>
      <w:pPr>
        <w:autoSpaceDE w:val="0"/>
        <w:autoSpaceDN w:val="0"/>
        <w:spacing w:line="578" w:lineRule="exact"/>
        <w:ind w:firstLine="640" w:firstLineChars="200"/>
        <w:rPr>
          <w:rFonts w:ascii="Times New Roman" w:hAnsi="Times New Roman" w:eastAsia="仿宋_GB2312"/>
          <w:sz w:val="32"/>
          <w:szCs w:val="32"/>
          <w:lang w:bidi="ar"/>
        </w:rPr>
      </w:pPr>
      <w:r>
        <w:rPr>
          <w:rFonts w:ascii="Times New Roman" w:hAnsi="Times New Roman" w:eastAsia="仿宋_GB2312"/>
          <w:sz w:val="32"/>
          <w:szCs w:val="32"/>
          <w:lang w:bidi="ar"/>
        </w:rPr>
        <w:t>管理局根据进境植物繁殖材料特许审批申请流程和科研立项管理的有关规定，调研了解园区科研企业特许审批申请业务与相关科研活动实际情况，结合海关特许审批实务，起草</w:t>
      </w:r>
      <w:r>
        <w:rPr>
          <w:rFonts w:hint="eastAsia" w:ascii="Times New Roman" w:hAnsi="Times New Roman" w:eastAsia="仿宋_GB2312"/>
          <w:sz w:val="32"/>
          <w:szCs w:val="32"/>
          <w:lang w:eastAsia="zh-CN" w:bidi="ar"/>
        </w:rPr>
        <w:t>了《办法》</w:t>
      </w:r>
      <w:r>
        <w:rPr>
          <w:rFonts w:ascii="Times New Roman" w:hAnsi="Times New Roman" w:eastAsia="仿宋_GB2312"/>
          <w:sz w:val="32"/>
          <w:szCs w:val="32"/>
          <w:lang w:bidi="ar"/>
        </w:rPr>
        <w:t>，</w:t>
      </w:r>
      <w:r>
        <w:rPr>
          <w:rFonts w:hint="eastAsia" w:ascii="Times New Roman" w:hAnsi="Times New Roman" w:eastAsia="仿宋_GB2312"/>
          <w:sz w:val="32"/>
          <w:szCs w:val="32"/>
          <w:lang w:eastAsia="zh-CN" w:bidi="ar"/>
        </w:rPr>
        <w:t>《办法》</w:t>
      </w:r>
      <w:r>
        <w:rPr>
          <w:rFonts w:ascii="Times New Roman" w:hAnsi="Times New Roman" w:eastAsia="仿宋_GB2312"/>
          <w:sz w:val="32"/>
          <w:szCs w:val="32"/>
          <w:lang w:bidi="ar"/>
        </w:rPr>
        <w:t>共</w:t>
      </w:r>
      <w:r>
        <w:rPr>
          <w:rFonts w:hint="eastAsia" w:ascii="Times New Roman" w:hAnsi="Times New Roman" w:eastAsia="仿宋_GB2312"/>
          <w:sz w:val="32"/>
          <w:szCs w:val="32"/>
          <w:lang w:val="en-US" w:eastAsia="zh-CN" w:bidi="ar"/>
        </w:rPr>
        <w:t>八</w:t>
      </w:r>
      <w:r>
        <w:rPr>
          <w:rFonts w:ascii="Times New Roman" w:hAnsi="Times New Roman" w:eastAsia="仿宋_GB2312"/>
          <w:sz w:val="32"/>
          <w:szCs w:val="32"/>
          <w:lang w:bidi="ar"/>
        </w:rPr>
        <w:t>章、二十八条，主要内容是：</w:t>
      </w:r>
    </w:p>
    <w:p>
      <w:pPr>
        <w:autoSpaceDE w:val="0"/>
        <w:autoSpaceDN w:val="0"/>
        <w:spacing w:line="578" w:lineRule="exact"/>
        <w:ind w:firstLine="640" w:firstLineChars="200"/>
        <w:rPr>
          <w:rFonts w:ascii="Times New Roman" w:hAnsi="Times New Roman" w:eastAsia="仿宋_GB2312"/>
          <w:sz w:val="32"/>
          <w:szCs w:val="32"/>
          <w:lang w:bidi="ar"/>
        </w:rPr>
      </w:pPr>
      <w:r>
        <w:rPr>
          <w:rFonts w:ascii="Times New Roman" w:hAnsi="Times New Roman" w:eastAsia="仿宋_GB2312"/>
          <w:sz w:val="32"/>
          <w:szCs w:val="32"/>
          <w:lang w:bidi="ar"/>
        </w:rPr>
        <w:t>（一）</w:t>
      </w:r>
      <w:r>
        <w:rPr>
          <w:rFonts w:hint="eastAsia" w:ascii="Times New Roman" w:hAnsi="Times New Roman" w:eastAsia="仿宋_GB2312"/>
          <w:sz w:val="32"/>
          <w:szCs w:val="32"/>
          <w:lang w:eastAsia="zh-CN" w:bidi="ar"/>
        </w:rPr>
        <w:t>《办法》</w:t>
      </w:r>
      <w:r>
        <w:rPr>
          <w:rFonts w:ascii="Times New Roman" w:hAnsi="Times New Roman" w:eastAsia="仿宋_GB2312"/>
          <w:sz w:val="32"/>
          <w:szCs w:val="32"/>
          <w:lang w:bidi="ar"/>
        </w:rPr>
        <w:t>中规定科研立项证明申请企业应具备的资格条件和申请材料准备要求；</w:t>
      </w:r>
    </w:p>
    <w:p>
      <w:pPr>
        <w:autoSpaceDE w:val="0"/>
        <w:autoSpaceDN w:val="0"/>
        <w:spacing w:line="578" w:lineRule="exact"/>
        <w:ind w:firstLine="640" w:firstLineChars="200"/>
        <w:rPr>
          <w:rFonts w:ascii="Times New Roman" w:hAnsi="Times New Roman" w:eastAsia="仿宋_GB2312"/>
          <w:sz w:val="32"/>
          <w:szCs w:val="32"/>
          <w:lang w:bidi="ar"/>
        </w:rPr>
      </w:pPr>
      <w:r>
        <w:rPr>
          <w:rFonts w:ascii="Times New Roman" w:hAnsi="Times New Roman" w:eastAsia="仿宋_GB2312"/>
          <w:sz w:val="32"/>
          <w:szCs w:val="32"/>
          <w:lang w:bidi="ar"/>
        </w:rPr>
        <w:t>（二）</w:t>
      </w:r>
      <w:r>
        <w:rPr>
          <w:rFonts w:hint="eastAsia" w:ascii="Times New Roman" w:hAnsi="Times New Roman" w:eastAsia="仿宋_GB2312"/>
          <w:sz w:val="32"/>
          <w:szCs w:val="32"/>
          <w:lang w:eastAsia="zh-CN" w:bidi="ar"/>
        </w:rPr>
        <w:t>《办法》</w:t>
      </w:r>
      <w:r>
        <w:rPr>
          <w:rFonts w:ascii="Times New Roman" w:hAnsi="Times New Roman" w:eastAsia="仿宋_GB2312"/>
          <w:sz w:val="32"/>
          <w:szCs w:val="32"/>
          <w:lang w:bidi="ar"/>
        </w:rPr>
        <w:t>规定科研立项证明办理申请受理的形式审查和项目评审的主要安排，以及参与项目评审的专家的遴选办法；</w:t>
      </w:r>
    </w:p>
    <w:p>
      <w:pPr>
        <w:autoSpaceDE w:val="0"/>
        <w:autoSpaceDN w:val="0"/>
        <w:spacing w:line="578" w:lineRule="exact"/>
        <w:ind w:firstLine="640" w:firstLineChars="200"/>
        <w:rPr>
          <w:rFonts w:ascii="Times New Roman" w:hAnsi="Times New Roman" w:eastAsia="仿宋_GB2312"/>
          <w:sz w:val="32"/>
          <w:szCs w:val="32"/>
          <w:lang w:bidi="ar"/>
        </w:rPr>
      </w:pPr>
      <w:r>
        <w:rPr>
          <w:rFonts w:ascii="Times New Roman" w:hAnsi="Times New Roman" w:eastAsia="仿宋_GB2312"/>
          <w:sz w:val="32"/>
          <w:szCs w:val="32"/>
          <w:lang w:bidi="ar"/>
        </w:rPr>
        <w:t>（三）</w:t>
      </w:r>
      <w:r>
        <w:rPr>
          <w:rFonts w:hint="eastAsia" w:ascii="Times New Roman" w:hAnsi="Times New Roman" w:eastAsia="仿宋_GB2312"/>
          <w:sz w:val="32"/>
          <w:szCs w:val="32"/>
          <w:lang w:eastAsia="zh-CN" w:bidi="ar"/>
        </w:rPr>
        <w:t>《办法》</w:t>
      </w:r>
      <w:r>
        <w:rPr>
          <w:rFonts w:ascii="Times New Roman" w:hAnsi="Times New Roman" w:eastAsia="仿宋_GB2312"/>
          <w:sz w:val="32"/>
          <w:szCs w:val="32"/>
          <w:lang w:bidi="ar"/>
        </w:rPr>
        <w:t>明确科研立项证明有效期、变更、注销情形等科研立项证明的管理与使用方面的要求；</w:t>
      </w:r>
    </w:p>
    <w:p>
      <w:pPr>
        <w:autoSpaceDE w:val="0"/>
        <w:autoSpaceDN w:val="0"/>
        <w:spacing w:line="578" w:lineRule="exact"/>
        <w:ind w:firstLine="640" w:firstLineChars="200"/>
        <w:rPr>
          <w:rFonts w:ascii="Times New Roman" w:hAnsi="Times New Roman" w:eastAsia="仿宋_GB2312"/>
          <w:sz w:val="32"/>
          <w:szCs w:val="32"/>
          <w:lang w:bidi="ar"/>
        </w:rPr>
      </w:pPr>
      <w:r>
        <w:rPr>
          <w:rFonts w:ascii="Times New Roman" w:hAnsi="Times New Roman" w:eastAsia="仿宋_GB2312"/>
          <w:sz w:val="32"/>
          <w:szCs w:val="32"/>
          <w:lang w:bidi="ar"/>
        </w:rPr>
        <w:t>（四）</w:t>
      </w:r>
      <w:r>
        <w:rPr>
          <w:rFonts w:hint="eastAsia" w:ascii="Times New Roman" w:hAnsi="Times New Roman" w:eastAsia="仿宋_GB2312"/>
          <w:sz w:val="32"/>
          <w:szCs w:val="32"/>
          <w:lang w:eastAsia="zh-CN" w:bidi="ar"/>
        </w:rPr>
        <w:t>《办法》</w:t>
      </w:r>
      <w:r>
        <w:rPr>
          <w:rFonts w:ascii="Times New Roman" w:hAnsi="Times New Roman" w:eastAsia="仿宋_GB2312"/>
          <w:sz w:val="32"/>
          <w:szCs w:val="32"/>
          <w:lang w:bidi="ar"/>
        </w:rPr>
        <w:t>规定企业取得科研立项证明后的科研活动、监督管理配合、</w:t>
      </w:r>
      <w:r>
        <w:rPr>
          <w:rFonts w:hint="eastAsia" w:ascii="Times New Roman" w:hAnsi="Times New Roman" w:eastAsia="仿宋_GB2312"/>
          <w:sz w:val="32"/>
          <w:szCs w:val="32"/>
          <w:lang w:val="en-US" w:eastAsia="zh-CN" w:bidi="ar"/>
        </w:rPr>
        <w:t>检查核查</w:t>
      </w:r>
      <w:bookmarkStart w:id="0" w:name="_GoBack"/>
      <w:bookmarkEnd w:id="0"/>
      <w:r>
        <w:rPr>
          <w:rFonts w:ascii="Times New Roman" w:hAnsi="Times New Roman" w:eastAsia="仿宋_GB2312"/>
          <w:sz w:val="32"/>
          <w:szCs w:val="32"/>
          <w:lang w:bidi="ar"/>
        </w:rPr>
        <w:t>等事项要求，明确不同违规情形的处理方式。</w:t>
      </w:r>
    </w:p>
    <w:p>
      <w:pPr>
        <w:spacing w:line="578" w:lineRule="exact"/>
        <w:ind w:firstLine="640" w:firstLineChars="200"/>
        <w:rPr>
          <w:rFonts w:ascii="黑体" w:hAnsi="黑体" w:eastAsia="黑体" w:cs="黑体"/>
          <w:sz w:val="32"/>
          <w:szCs w:val="32"/>
        </w:rPr>
      </w:pPr>
      <w:r>
        <w:rPr>
          <w:rFonts w:hint="eastAsia" w:ascii="黑体" w:hAnsi="黑体" w:eastAsia="黑体" w:cs="黑体"/>
          <w:sz w:val="32"/>
          <w:szCs w:val="32"/>
        </w:rPr>
        <w:t>五、比选方案</w:t>
      </w:r>
    </w:p>
    <w:p>
      <w:pPr>
        <w:pStyle w:val="2"/>
        <w:spacing w:line="578" w:lineRule="exact"/>
        <w:ind w:firstLine="0" w:firstLineChars="0"/>
        <w:rPr>
          <w:rFonts w:ascii="Times New Roman" w:hAnsi="Times New Roman" w:eastAsia="仿宋_GB2312"/>
          <w:sz w:val="32"/>
          <w:szCs w:val="32"/>
        </w:rPr>
      </w:pPr>
      <w:r>
        <w:rPr>
          <w:rFonts w:ascii="Times New Roman" w:hAnsi="Times New Roman" w:eastAsia="仿宋_GB2312"/>
          <w:sz w:val="32"/>
          <w:szCs w:val="32"/>
        </w:rPr>
        <w:t xml:space="preserve">    根据省市相关文件要求编制，无比选方案。</w:t>
      </w:r>
    </w:p>
    <w:p>
      <w:pPr>
        <w:pStyle w:val="2"/>
        <w:spacing w:line="578" w:lineRule="exact"/>
        <w:ind w:firstLine="640"/>
        <w:rPr>
          <w:rFonts w:ascii="Times New Roman" w:hAnsi="Times New Roman" w:eastAsia="仿宋_GB2312"/>
          <w:b/>
          <w:bCs/>
          <w:sz w:val="32"/>
          <w:szCs w:val="32"/>
        </w:rPr>
      </w:pPr>
      <w:r>
        <w:rPr>
          <w:rFonts w:hint="eastAsia" w:ascii="黑体" w:hAnsi="黑体" w:eastAsia="黑体" w:cs="黑体"/>
          <w:sz w:val="32"/>
          <w:szCs w:val="32"/>
        </w:rPr>
        <w:t>六、需要明确或关注的问题</w:t>
      </w:r>
    </w:p>
    <w:p>
      <w:pPr>
        <w:pStyle w:val="18"/>
        <w:ind w:firstLine="640" w:firstLineChars="200"/>
        <w:jc w:val="both"/>
        <w:rPr>
          <w:rFonts w:hint="default" w:eastAsia="仿宋_GB2312"/>
          <w:szCs w:val="32"/>
          <w:lang w:bidi="ar"/>
        </w:rPr>
      </w:pPr>
      <w:r>
        <w:rPr>
          <w:rFonts w:eastAsia="仿宋_GB2312"/>
          <w:szCs w:val="32"/>
          <w:lang w:bidi="ar"/>
        </w:rPr>
        <w:t>在为企业提供科研立项证明的业务中，需关注的是，企业因进境植物繁殖材料特许审批所需直接向管理局申请办理科研立项证明时，</w:t>
      </w:r>
      <w:r>
        <w:rPr>
          <w:rFonts w:eastAsia="仿宋_GB2312"/>
          <w:szCs w:val="32"/>
          <w:highlight w:val="none"/>
          <w:lang w:bidi="ar"/>
        </w:rPr>
        <w:t>为</w:t>
      </w:r>
      <w:r>
        <w:rPr>
          <w:rFonts w:hint="eastAsia" w:eastAsia="仿宋_GB2312"/>
          <w:szCs w:val="32"/>
          <w:highlight w:val="none"/>
          <w:lang w:val="en-US" w:eastAsia="zh-CN" w:bidi="ar"/>
        </w:rPr>
        <w:t>充分保障生物安全风险可防可控，科研项目安全开展，</w:t>
      </w:r>
      <w:r>
        <w:rPr>
          <w:rFonts w:eastAsia="仿宋_GB2312"/>
          <w:szCs w:val="32"/>
          <w:lang w:bidi="ar"/>
        </w:rPr>
        <w:t>提高企业引种业务效率和业务办理精准度，管理局可引导和建议企业向海口海关提前进行特许审批申请事前咨询，以充分了解特许审批申请流程和相关要求。管理局</w:t>
      </w:r>
      <w:r>
        <w:rPr>
          <w:rFonts w:hint="eastAsia" w:eastAsia="仿宋_GB2312"/>
          <w:szCs w:val="32"/>
          <w:lang w:val="en-US" w:eastAsia="zh-CN" w:bidi="ar"/>
        </w:rPr>
        <w:t>已</w:t>
      </w:r>
      <w:r>
        <w:rPr>
          <w:rFonts w:eastAsia="仿宋_GB2312"/>
          <w:szCs w:val="32"/>
          <w:lang w:bidi="ar"/>
        </w:rPr>
        <w:t>与海口海关就相关工作的衔接与协调做好沟通</w:t>
      </w:r>
      <w:r>
        <w:rPr>
          <w:rFonts w:hint="eastAsia" w:eastAsia="仿宋_GB2312"/>
          <w:szCs w:val="32"/>
          <w:lang w:eastAsia="zh-CN" w:bidi="ar"/>
        </w:rPr>
        <w:t>，</w:t>
      </w:r>
      <w:r>
        <w:rPr>
          <w:rFonts w:hint="eastAsia" w:eastAsia="仿宋_GB2312"/>
          <w:szCs w:val="32"/>
          <w:lang w:val="en-US" w:eastAsia="zh-CN" w:bidi="ar"/>
        </w:rPr>
        <w:t>并正式建立了合作创新工作机制</w:t>
      </w:r>
      <w:r>
        <w:rPr>
          <w:rFonts w:eastAsia="仿宋_GB2312"/>
          <w:szCs w:val="32"/>
          <w:lang w:bidi="ar"/>
        </w:rPr>
        <w:t>。</w:t>
      </w:r>
    </w:p>
    <w:p>
      <w:pPr>
        <w:pStyle w:val="18"/>
        <w:ind w:left="640" w:firstLine="0"/>
        <w:rPr>
          <w:rFonts w:hint="default"/>
          <w:b/>
          <w:szCs w:val="32"/>
        </w:rPr>
      </w:pPr>
      <w:r>
        <w:rPr>
          <w:rFonts w:ascii="黑体" w:hAnsi="黑体" w:cs="黑体"/>
          <w:bCs w:val="0"/>
          <w:szCs w:val="32"/>
        </w:rPr>
        <w:t>七、会议审议建议</w:t>
      </w:r>
    </w:p>
    <w:p>
      <w:pPr>
        <w:pStyle w:val="18"/>
        <w:ind w:firstLine="640"/>
        <w:jc w:val="both"/>
        <w:rPr>
          <w:rFonts w:hint="eastAsia" w:eastAsia="仿宋_GB2312"/>
          <w:szCs w:val="32"/>
          <w:lang w:eastAsia="zh-CN"/>
        </w:rPr>
      </w:pPr>
      <w:r>
        <w:rPr>
          <w:rFonts w:hint="eastAsia" w:eastAsia="仿宋_GB2312"/>
          <w:sz w:val="32"/>
          <w:szCs w:val="32"/>
          <w:lang w:eastAsia="zh-CN" w:bidi="ar"/>
        </w:rPr>
        <w:t>《办法》</w:t>
      </w:r>
      <w:r>
        <w:rPr>
          <w:rFonts w:hint="default" w:eastAsia="仿宋_GB2312"/>
          <w:szCs w:val="32"/>
        </w:rPr>
        <w:t>经管理局委员会</w:t>
      </w:r>
      <w:r>
        <w:rPr>
          <w:rFonts w:hint="eastAsia" w:eastAsia="仿宋_GB2312"/>
          <w:szCs w:val="32"/>
          <w:lang w:val="en-US" w:eastAsia="zh-CN"/>
        </w:rPr>
        <w:t>吕继洲副局长专题会</w:t>
      </w:r>
      <w:r>
        <w:rPr>
          <w:rFonts w:hint="default" w:eastAsia="仿宋_GB2312"/>
          <w:szCs w:val="32"/>
        </w:rPr>
        <w:t>审议通过，审议意见为：</w:t>
      </w:r>
      <w:r>
        <w:rPr>
          <w:rFonts w:hint="eastAsia" w:eastAsia="仿宋_GB2312"/>
          <w:szCs w:val="32"/>
          <w:lang w:val="en-US" w:eastAsia="zh-CN"/>
        </w:rPr>
        <w:t>原则同意《</w:t>
      </w:r>
      <w:r>
        <w:rPr>
          <w:rFonts w:hint="eastAsia" w:eastAsia="仿宋_GB2312"/>
          <w:sz w:val="32"/>
          <w:szCs w:val="32"/>
          <w:lang w:eastAsia="zh-CN" w:bidi="ar"/>
        </w:rPr>
        <w:t>办法</w:t>
      </w:r>
      <w:r>
        <w:rPr>
          <w:rFonts w:hint="eastAsia" w:eastAsia="仿宋_GB2312"/>
          <w:szCs w:val="32"/>
          <w:lang w:val="en-US" w:eastAsia="zh-CN"/>
        </w:rPr>
        <w:t>》的条款内容，根据相关主管部门、法务部等意见修改完善后，提请局务会审议</w:t>
      </w:r>
      <w:r>
        <w:rPr>
          <w:rFonts w:hint="default" w:eastAsia="仿宋_GB2312"/>
          <w:szCs w:val="32"/>
        </w:rPr>
        <w:t>。</w:t>
      </w:r>
    </w:p>
    <w:p>
      <w:pPr>
        <w:pStyle w:val="18"/>
        <w:ind w:left="640" w:firstLine="0"/>
        <w:rPr>
          <w:rFonts w:hint="default" w:ascii="黑体" w:hAnsi="黑体" w:cs="黑体"/>
          <w:bCs w:val="0"/>
          <w:szCs w:val="32"/>
        </w:rPr>
      </w:pPr>
      <w:r>
        <w:rPr>
          <w:rFonts w:ascii="黑体" w:hAnsi="黑体" w:cs="黑体"/>
          <w:bCs w:val="0"/>
          <w:szCs w:val="32"/>
        </w:rPr>
        <w:t>八、评估论证意见</w:t>
      </w:r>
    </w:p>
    <w:p>
      <w:pPr>
        <w:pStyle w:val="18"/>
        <w:ind w:firstLine="0"/>
        <w:jc w:val="both"/>
        <w:rPr>
          <w:rFonts w:hint="default" w:eastAsia="仿宋_GB2312"/>
          <w:szCs w:val="32"/>
        </w:rPr>
      </w:pPr>
      <w:r>
        <w:rPr>
          <w:rFonts w:hint="default" w:eastAsia="仿宋_GB2312"/>
          <w:szCs w:val="32"/>
        </w:rPr>
        <w:t xml:space="preserve">    本</w:t>
      </w:r>
      <w:r>
        <w:rPr>
          <w:rFonts w:hint="eastAsia" w:eastAsia="仿宋_GB2312"/>
          <w:szCs w:val="32"/>
          <w:lang w:eastAsia="zh-CN"/>
        </w:rPr>
        <w:t>《</w:t>
      </w:r>
      <w:r>
        <w:rPr>
          <w:rFonts w:hint="default" w:eastAsia="仿宋_GB2312"/>
          <w:szCs w:val="32"/>
        </w:rPr>
        <w:t>办法</w:t>
      </w:r>
      <w:r>
        <w:rPr>
          <w:rFonts w:hint="eastAsia" w:eastAsia="仿宋_GB2312"/>
          <w:szCs w:val="32"/>
          <w:lang w:eastAsia="zh-CN"/>
        </w:rPr>
        <w:t>》</w:t>
      </w:r>
      <w:r>
        <w:rPr>
          <w:rFonts w:hint="default" w:eastAsia="仿宋_GB2312"/>
          <w:szCs w:val="32"/>
        </w:rPr>
        <w:t>响应习近平总书记“4·13”重要讲话、中央12号文件、《海南自由贸易港建设总体方案</w:t>
      </w:r>
      <w:r>
        <w:rPr>
          <w:rFonts w:hint="eastAsia" w:eastAsia="仿宋_GB2312"/>
          <w:szCs w:val="32"/>
          <w:lang w:eastAsia="zh-CN"/>
        </w:rPr>
        <w:t>》《</w:t>
      </w:r>
      <w:r>
        <w:rPr>
          <w:rFonts w:hint="default" w:eastAsia="仿宋_GB2312"/>
          <w:szCs w:val="32"/>
        </w:rPr>
        <w:t>海南自由贸易港三亚崖州湾科技城条例》等文件和指示精神，具有制定的必要性、可行性、合法性及合理性，符合法律法规和国家政策，符合社会主义核心价值观、符合公平竞争等要求。</w:t>
      </w:r>
    </w:p>
    <w:p>
      <w:pPr>
        <w:pStyle w:val="2"/>
        <w:spacing w:line="578" w:lineRule="exact"/>
        <w:ind w:firstLine="640"/>
        <w:rPr>
          <w:rFonts w:hint="default" w:ascii="Times New Roman" w:hAnsi="Times New Roman" w:eastAsia="仿宋_GB2312" w:cs="Times New Roman"/>
          <w:sz w:val="32"/>
          <w:szCs w:val="32"/>
          <w:lang w:val="en-US" w:eastAsia="zh-CN"/>
        </w:rPr>
      </w:pPr>
      <w:r>
        <w:rPr>
          <w:rFonts w:ascii="Times New Roman" w:hAnsi="Times New Roman" w:eastAsia="仿宋_GB2312"/>
          <w:sz w:val="32"/>
          <w:szCs w:val="32"/>
        </w:rPr>
        <w:t>特此说明</w:t>
      </w:r>
      <w:r>
        <w:rPr>
          <w:rFonts w:hint="eastAsia" w:ascii="Times New Roman" w:hAnsi="Times New Roman" w:eastAsia="仿宋_GB2312"/>
          <w:sz w:val="32"/>
          <w:szCs w:val="32"/>
        </w:rPr>
        <w:t>。</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0365551-7C7D-4BE1-9B56-A3A6BDED362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5E7B5090-E156-4310-B87F-3888B8FF899B}"/>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08DAF2C0-0D05-4EED-959B-5BA6AC657EAC}"/>
  </w:font>
  <w:font w:name="微软雅黑">
    <w:panose1 w:val="020B0503020204020204"/>
    <w:charset w:val="86"/>
    <w:family w:val="swiss"/>
    <w:pitch w:val="default"/>
    <w:sig w:usb0="80000287" w:usb1="2ACF3C50" w:usb2="00000016" w:usb3="00000000" w:csb0="0004001F" w:csb1="00000000"/>
  </w:font>
  <w:font w:name="___WRD_EMBED_SUB_46">
    <w:altName w:val="微软雅黑"/>
    <w:panose1 w:val="00000000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01345" cy="230505"/>
              <wp:effectExtent l="1905" t="0" r="317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01345" cy="230505"/>
                      </a:xfrm>
                      <a:prstGeom prst="rect">
                        <a:avLst/>
                      </a:prstGeom>
                      <a:noFill/>
                      <a:ln>
                        <a:noFill/>
                      </a:ln>
                    </wps:spPr>
                    <wps:txbx>
                      <w:txbxContent>
                        <w:p>
                          <w:pPr>
                            <w:snapToGrid w:val="0"/>
                            <w:rPr>
                              <w:rFonts w:ascii="Times New Roman" w:hAnsi="Times New Roman" w:eastAsia="仿宋_GB2312"/>
                              <w:sz w:val="28"/>
                              <w:szCs w:val="28"/>
                            </w:rPr>
                          </w:pPr>
                          <w:r>
                            <w:rPr>
                              <w:rFonts w:hint="eastAsia" w:ascii="Times New Roman" w:hAnsi="Times New Roman" w:eastAsia="仿宋_GB2312"/>
                              <w:sz w:val="28"/>
                              <w:szCs w:val="28"/>
                            </w:rPr>
                            <w:t xml:space="preserve">— </w:t>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  \* MERGEFORMAT </w:instrText>
                          </w:r>
                          <w:r>
                            <w:rPr>
                              <w:rFonts w:ascii="Times New Roman" w:hAnsi="Times New Roman" w:eastAsia="仿宋_GB2312"/>
                              <w:sz w:val="28"/>
                              <w:szCs w:val="28"/>
                            </w:rPr>
                            <w:fldChar w:fldCharType="separate"/>
                          </w:r>
                          <w:r>
                            <w:t>1</w:t>
                          </w:r>
                          <w:r>
                            <w:rPr>
                              <w:rFonts w:ascii="Times New Roman" w:hAnsi="Times New Roman" w:eastAsia="仿宋_GB2312"/>
                              <w:sz w:val="28"/>
                              <w:szCs w:val="28"/>
                            </w:rPr>
                            <w:fldChar w:fldCharType="end"/>
                          </w:r>
                          <w:r>
                            <w:rPr>
                              <w:rFonts w:hint="eastAsia" w:ascii="Times New Roman" w:hAnsi="Times New Roman" w:eastAsia="仿宋_GB2312"/>
                              <w:sz w:val="28"/>
                              <w:szCs w:val="28"/>
                            </w:rPr>
                            <w:t xml:space="preserve"> —</w:t>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8.15pt;width:47.35pt;mso-position-horizontal:outside;mso-position-horizontal-relative:margin;mso-wrap-style:none;z-index:251659264;mso-width-relative:page;mso-height-relative:page;" filled="f" stroked="f" coordsize="21600,21600" o:gfxdata="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TchKi0gAAAAMBAAAPAAAAAAAAAAEAIAAAACIAAABkcnMv&#10;ZG93bnJldi54bWxQSwECFAAUAAAACACHTuJAtMMpdwkCAAACBAAADgAAAAAAAAABACAAAAAhAQAA&#10;ZHJzL2Uyb0RvYy54bWxQSwUGAAAAAAYABgBZAQAAnAUAAAAA&#10;">
              <v:fill on="f" focussize="0,0"/>
              <v:stroke on="f"/>
              <v:imagedata o:title=""/>
              <o:lock v:ext="edit" aspectratio="f"/>
              <v:textbox inset="0mm,0mm,0mm,0mm" style="mso-fit-shape-to-text:t;">
                <w:txbxContent>
                  <w:p>
                    <w:pPr>
                      <w:snapToGrid w:val="0"/>
                      <w:rPr>
                        <w:rFonts w:ascii="Times New Roman" w:hAnsi="Times New Roman" w:eastAsia="仿宋_GB2312"/>
                        <w:sz w:val="28"/>
                        <w:szCs w:val="28"/>
                      </w:rPr>
                    </w:pPr>
                    <w:r>
                      <w:rPr>
                        <w:rFonts w:hint="eastAsia" w:ascii="Times New Roman" w:hAnsi="Times New Roman" w:eastAsia="仿宋_GB2312"/>
                        <w:sz w:val="28"/>
                        <w:szCs w:val="28"/>
                      </w:rPr>
                      <w:t xml:space="preserve">— </w:t>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  \* MERGEFORMAT </w:instrText>
                    </w:r>
                    <w:r>
                      <w:rPr>
                        <w:rFonts w:ascii="Times New Roman" w:hAnsi="Times New Roman" w:eastAsia="仿宋_GB2312"/>
                        <w:sz w:val="28"/>
                        <w:szCs w:val="28"/>
                      </w:rPr>
                      <w:fldChar w:fldCharType="separate"/>
                    </w:r>
                    <w:r>
                      <w:t>1</w:t>
                    </w:r>
                    <w:r>
                      <w:rPr>
                        <w:rFonts w:ascii="Times New Roman" w:hAnsi="Times New Roman" w:eastAsia="仿宋_GB2312"/>
                        <w:sz w:val="28"/>
                        <w:szCs w:val="28"/>
                      </w:rPr>
                      <w:fldChar w:fldCharType="end"/>
                    </w:r>
                    <w:r>
                      <w:rPr>
                        <w:rFonts w:hint="eastAsia" w:ascii="Times New Roman" w:hAnsi="Times New Roman" w:eastAsia="仿宋_GB2312"/>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9D4FF0"/>
    <w:multiLevelType w:val="singleLevel"/>
    <w:tmpl w:val="C59D4FF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1NGQ4MDY4NjMxYWVlMzc3ODM2NDE0MmU1ODUxYzYifQ=="/>
  </w:docVars>
  <w:rsids>
    <w:rsidRoot w:val="00172A27"/>
    <w:rsid w:val="000160D3"/>
    <w:rsid w:val="00026B24"/>
    <w:rsid w:val="000558E6"/>
    <w:rsid w:val="000B065D"/>
    <w:rsid w:val="00112D06"/>
    <w:rsid w:val="001348F3"/>
    <w:rsid w:val="00143386"/>
    <w:rsid w:val="001603D8"/>
    <w:rsid w:val="001723A1"/>
    <w:rsid w:val="00172A27"/>
    <w:rsid w:val="00255798"/>
    <w:rsid w:val="00260FAC"/>
    <w:rsid w:val="002D46FD"/>
    <w:rsid w:val="0035180E"/>
    <w:rsid w:val="003566D5"/>
    <w:rsid w:val="00361EBB"/>
    <w:rsid w:val="003D6B02"/>
    <w:rsid w:val="003D6B88"/>
    <w:rsid w:val="00470A39"/>
    <w:rsid w:val="004D63EB"/>
    <w:rsid w:val="00590DBA"/>
    <w:rsid w:val="005E7F11"/>
    <w:rsid w:val="006B195C"/>
    <w:rsid w:val="006B42E3"/>
    <w:rsid w:val="006E46A3"/>
    <w:rsid w:val="007127B9"/>
    <w:rsid w:val="00722DE3"/>
    <w:rsid w:val="00736D04"/>
    <w:rsid w:val="00785FD8"/>
    <w:rsid w:val="007B0C76"/>
    <w:rsid w:val="007F0694"/>
    <w:rsid w:val="0081514C"/>
    <w:rsid w:val="00871ACC"/>
    <w:rsid w:val="00882CB9"/>
    <w:rsid w:val="0088606A"/>
    <w:rsid w:val="00933483"/>
    <w:rsid w:val="00974605"/>
    <w:rsid w:val="009A28D9"/>
    <w:rsid w:val="009F324C"/>
    <w:rsid w:val="00A66CA8"/>
    <w:rsid w:val="00B66EE1"/>
    <w:rsid w:val="00B67F2D"/>
    <w:rsid w:val="00B771FD"/>
    <w:rsid w:val="00BC1552"/>
    <w:rsid w:val="00C05AB0"/>
    <w:rsid w:val="00C07FB7"/>
    <w:rsid w:val="00C62638"/>
    <w:rsid w:val="00CB1958"/>
    <w:rsid w:val="00D00232"/>
    <w:rsid w:val="00D10E16"/>
    <w:rsid w:val="00D379F8"/>
    <w:rsid w:val="00E07C24"/>
    <w:rsid w:val="00E25FFD"/>
    <w:rsid w:val="00EA1BA7"/>
    <w:rsid w:val="00EB2D80"/>
    <w:rsid w:val="00EB4914"/>
    <w:rsid w:val="00EB5754"/>
    <w:rsid w:val="00EB57EF"/>
    <w:rsid w:val="00F54B78"/>
    <w:rsid w:val="00FA6B2C"/>
    <w:rsid w:val="00FC1580"/>
    <w:rsid w:val="00FE046B"/>
    <w:rsid w:val="00FF619F"/>
    <w:rsid w:val="022743B5"/>
    <w:rsid w:val="02E700AB"/>
    <w:rsid w:val="02F767AA"/>
    <w:rsid w:val="03486ECB"/>
    <w:rsid w:val="03801F3D"/>
    <w:rsid w:val="04A704B5"/>
    <w:rsid w:val="04F23038"/>
    <w:rsid w:val="05561110"/>
    <w:rsid w:val="05F64014"/>
    <w:rsid w:val="074F0C54"/>
    <w:rsid w:val="08E01579"/>
    <w:rsid w:val="09464317"/>
    <w:rsid w:val="0A2F1D72"/>
    <w:rsid w:val="0B063E86"/>
    <w:rsid w:val="0B8579E5"/>
    <w:rsid w:val="0CF67E81"/>
    <w:rsid w:val="0EBC12B9"/>
    <w:rsid w:val="0EE960BF"/>
    <w:rsid w:val="0FAA43ED"/>
    <w:rsid w:val="105118D0"/>
    <w:rsid w:val="108B62A1"/>
    <w:rsid w:val="115148A1"/>
    <w:rsid w:val="126F6F8F"/>
    <w:rsid w:val="14011689"/>
    <w:rsid w:val="142E213B"/>
    <w:rsid w:val="14CF38C9"/>
    <w:rsid w:val="14FE0AD0"/>
    <w:rsid w:val="16322184"/>
    <w:rsid w:val="1806607D"/>
    <w:rsid w:val="18C67E86"/>
    <w:rsid w:val="18E72C24"/>
    <w:rsid w:val="1AD3718F"/>
    <w:rsid w:val="1B9120FE"/>
    <w:rsid w:val="1C5212F9"/>
    <w:rsid w:val="1CE86F3A"/>
    <w:rsid w:val="1D1807BF"/>
    <w:rsid w:val="1D6625A9"/>
    <w:rsid w:val="1D9C59B9"/>
    <w:rsid w:val="1DC9588A"/>
    <w:rsid w:val="1DCC0ECC"/>
    <w:rsid w:val="1E7E7326"/>
    <w:rsid w:val="1EA931D7"/>
    <w:rsid w:val="224E4E97"/>
    <w:rsid w:val="26707753"/>
    <w:rsid w:val="271D2600"/>
    <w:rsid w:val="2A683FD6"/>
    <w:rsid w:val="2AAF49AF"/>
    <w:rsid w:val="2B78410A"/>
    <w:rsid w:val="309C19E4"/>
    <w:rsid w:val="311A3BCA"/>
    <w:rsid w:val="31806C55"/>
    <w:rsid w:val="31DF26DF"/>
    <w:rsid w:val="32D600B5"/>
    <w:rsid w:val="32EA5FE7"/>
    <w:rsid w:val="33110C94"/>
    <w:rsid w:val="34513160"/>
    <w:rsid w:val="34B06FBD"/>
    <w:rsid w:val="34DD06B3"/>
    <w:rsid w:val="34F7401D"/>
    <w:rsid w:val="37172A26"/>
    <w:rsid w:val="3756789A"/>
    <w:rsid w:val="37577C6B"/>
    <w:rsid w:val="381B1DA4"/>
    <w:rsid w:val="387929DD"/>
    <w:rsid w:val="38ED6219"/>
    <w:rsid w:val="3A104852"/>
    <w:rsid w:val="3B01352F"/>
    <w:rsid w:val="3B520CB8"/>
    <w:rsid w:val="3B533F1A"/>
    <w:rsid w:val="3B64270E"/>
    <w:rsid w:val="3B6B6B89"/>
    <w:rsid w:val="3BB34C0B"/>
    <w:rsid w:val="3EDE53F9"/>
    <w:rsid w:val="3F745474"/>
    <w:rsid w:val="40FC54BD"/>
    <w:rsid w:val="43D31419"/>
    <w:rsid w:val="44437C17"/>
    <w:rsid w:val="44F25BB7"/>
    <w:rsid w:val="482B35DB"/>
    <w:rsid w:val="48394744"/>
    <w:rsid w:val="488F505C"/>
    <w:rsid w:val="49FE360A"/>
    <w:rsid w:val="4AAC6CCE"/>
    <w:rsid w:val="4B14423C"/>
    <w:rsid w:val="4B4B11F4"/>
    <w:rsid w:val="4CA76795"/>
    <w:rsid w:val="4D8149BE"/>
    <w:rsid w:val="4DFD70EB"/>
    <w:rsid w:val="4F9453FB"/>
    <w:rsid w:val="4FE46710"/>
    <w:rsid w:val="506240E0"/>
    <w:rsid w:val="5148274C"/>
    <w:rsid w:val="52356149"/>
    <w:rsid w:val="52B54D8B"/>
    <w:rsid w:val="5300447B"/>
    <w:rsid w:val="546D0B6D"/>
    <w:rsid w:val="560500D2"/>
    <w:rsid w:val="560E1F6C"/>
    <w:rsid w:val="56BB044B"/>
    <w:rsid w:val="56D25862"/>
    <w:rsid w:val="57B67886"/>
    <w:rsid w:val="57C83EAE"/>
    <w:rsid w:val="57D51901"/>
    <w:rsid w:val="57E6641D"/>
    <w:rsid w:val="58397A38"/>
    <w:rsid w:val="58B053AA"/>
    <w:rsid w:val="5B673C27"/>
    <w:rsid w:val="5D7F0D36"/>
    <w:rsid w:val="5D985EB8"/>
    <w:rsid w:val="5EB47521"/>
    <w:rsid w:val="60355065"/>
    <w:rsid w:val="611C2FB1"/>
    <w:rsid w:val="613B3866"/>
    <w:rsid w:val="614B6677"/>
    <w:rsid w:val="61A42F49"/>
    <w:rsid w:val="62200AC2"/>
    <w:rsid w:val="629740C8"/>
    <w:rsid w:val="62DF369F"/>
    <w:rsid w:val="644A4B27"/>
    <w:rsid w:val="66CB5B6F"/>
    <w:rsid w:val="67F77229"/>
    <w:rsid w:val="69B4163F"/>
    <w:rsid w:val="6A0406C4"/>
    <w:rsid w:val="6A071433"/>
    <w:rsid w:val="6BE85723"/>
    <w:rsid w:val="6C09209B"/>
    <w:rsid w:val="6C42726A"/>
    <w:rsid w:val="6C836E07"/>
    <w:rsid w:val="6D0875B2"/>
    <w:rsid w:val="6E91715F"/>
    <w:rsid w:val="6FB82614"/>
    <w:rsid w:val="6FF42108"/>
    <w:rsid w:val="70511D68"/>
    <w:rsid w:val="7480031D"/>
    <w:rsid w:val="750E120F"/>
    <w:rsid w:val="75BE778E"/>
    <w:rsid w:val="78C6351A"/>
    <w:rsid w:val="794569A6"/>
    <w:rsid w:val="7AAD48C3"/>
    <w:rsid w:val="7C095BC6"/>
    <w:rsid w:val="7C331B59"/>
    <w:rsid w:val="7CD856AE"/>
    <w:rsid w:val="7E1D6E8E"/>
    <w:rsid w:val="7E3718C7"/>
    <w:rsid w:val="7F766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4"/>
    <w:qFormat/>
    <w:uiPriority w:val="0"/>
    <w:pPr>
      <w:spacing w:line="578" w:lineRule="exact"/>
      <w:jc w:val="center"/>
      <w:outlineLvl w:val="0"/>
    </w:pPr>
    <w:rPr>
      <w:rFonts w:hint="eastAsia" w:ascii="宋体" w:hAnsi="宋体" w:eastAsia="方正小标宋_GBK"/>
      <w:kern w:val="44"/>
      <w:sz w:val="44"/>
      <w:szCs w:val="4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Title"/>
    <w:basedOn w:val="1"/>
    <w:qFormat/>
    <w:uiPriority w:val="0"/>
    <w:pPr>
      <w:spacing w:before="240" w:after="60"/>
      <w:jc w:val="center"/>
      <w:outlineLvl w:val="0"/>
    </w:pPr>
    <w:rPr>
      <w:rFonts w:ascii="Arial" w:hAnsi="Arial"/>
      <w:b/>
      <w:sz w:val="32"/>
    </w:rPr>
  </w:style>
  <w:style w:type="paragraph" w:styleId="5">
    <w:name w:val="annotation text"/>
    <w:basedOn w:val="1"/>
    <w:unhideWhenUsed/>
    <w:qFormat/>
    <w:uiPriority w:val="99"/>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9">
    <w:name w:val="Normal (Web)"/>
    <w:basedOn w:val="1"/>
    <w:qFormat/>
    <w:uiPriority w:val="0"/>
    <w:pPr>
      <w:spacing w:before="100" w:beforeAutospacing="1" w:after="100" w:afterAutospacing="1"/>
      <w:jc w:val="left"/>
    </w:pPr>
    <w:rPr>
      <w:kern w:val="0"/>
      <w:sz w:val="24"/>
    </w:rPr>
  </w:style>
  <w:style w:type="character" w:styleId="12">
    <w:name w:val="page number"/>
    <w:qFormat/>
    <w:uiPriority w:val="0"/>
  </w:style>
  <w:style w:type="character" w:styleId="13">
    <w:name w:val="Emphasis"/>
    <w:qFormat/>
    <w:uiPriority w:val="0"/>
    <w:rPr>
      <w:i/>
    </w:rPr>
  </w:style>
  <w:style w:type="character" w:customStyle="1" w:styleId="14">
    <w:name w:val="公文正文1 Char"/>
    <w:link w:val="15"/>
    <w:qFormat/>
    <w:uiPriority w:val="0"/>
    <w:rPr>
      <w:rFonts w:ascii="Times New Roman" w:hAnsi="Times New Roman" w:eastAsia="仿宋_GB2312" w:cs="Times New Roman"/>
      <w:sz w:val="32"/>
      <w:szCs w:val="28"/>
    </w:rPr>
  </w:style>
  <w:style w:type="paragraph" w:customStyle="1" w:styleId="15">
    <w:name w:val="公文正文1"/>
    <w:basedOn w:val="1"/>
    <w:link w:val="14"/>
    <w:qFormat/>
    <w:uiPriority w:val="0"/>
    <w:pPr>
      <w:adjustRightInd w:val="0"/>
      <w:spacing w:line="578" w:lineRule="exact"/>
      <w:ind w:firstLine="658"/>
      <w:jc w:val="left"/>
    </w:pPr>
    <w:rPr>
      <w:rFonts w:ascii="Times New Roman" w:hAnsi="Times New Roman" w:eastAsia="仿宋_GB2312"/>
      <w:sz w:val="32"/>
      <w:szCs w:val="28"/>
    </w:rPr>
  </w:style>
  <w:style w:type="paragraph" w:customStyle="1" w:styleId="16">
    <w:name w:val="doc-a"/>
    <w:basedOn w:val="1"/>
    <w:qFormat/>
    <w:uiPriority w:val="0"/>
    <w:pPr>
      <w:ind w:firstLine="420"/>
      <w:jc w:val="left"/>
    </w:pPr>
    <w:rPr>
      <w:rFonts w:hint="eastAsia" w:ascii="微软雅黑" w:hAnsi="微软雅黑" w:eastAsia="微软雅黑"/>
      <w:kern w:val="0"/>
      <w:sz w:val="24"/>
    </w:rPr>
  </w:style>
  <w:style w:type="paragraph" w:customStyle="1" w:styleId="17">
    <w:name w:val="公文正文"/>
    <w:basedOn w:val="1"/>
    <w:qFormat/>
    <w:uiPriority w:val="0"/>
    <w:pPr>
      <w:spacing w:line="578" w:lineRule="exact"/>
      <w:ind w:firstLine="658"/>
      <w:jc w:val="left"/>
    </w:pPr>
    <w:rPr>
      <w:rFonts w:hint="eastAsia" w:ascii="Times New Roman" w:hAnsi="Times New Roman" w:eastAsia="仿宋_GB2312"/>
      <w:color w:val="000000"/>
      <w:sz w:val="32"/>
      <w:szCs w:val="32"/>
      <w:shd w:val="clear" w:color="auto" w:fill="FFFFFF"/>
    </w:rPr>
  </w:style>
  <w:style w:type="paragraph" w:customStyle="1" w:styleId="18">
    <w:name w:val="公文标题1"/>
    <w:basedOn w:val="1"/>
    <w:qFormat/>
    <w:uiPriority w:val="0"/>
    <w:pPr>
      <w:adjustRightInd w:val="0"/>
      <w:spacing w:line="578" w:lineRule="exact"/>
      <w:ind w:firstLine="658"/>
      <w:jc w:val="left"/>
    </w:pPr>
    <w:rPr>
      <w:rFonts w:hint="eastAsia" w:ascii="Times New Roman" w:hAnsi="Times New Roman" w:eastAsia="黑体"/>
      <w:bCs/>
      <w:sz w:val="32"/>
      <w:szCs w:val="28"/>
    </w:rPr>
  </w:style>
  <w:style w:type="paragraph" w:styleId="19">
    <w:name w:val="List Paragraph"/>
    <w:basedOn w:val="1"/>
    <w:qFormat/>
    <w:uiPriority w:val="34"/>
    <w:pPr>
      <w:ind w:firstLine="420" w:firstLineChars="200"/>
    </w:pPr>
  </w:style>
  <w:style w:type="paragraph" w:customStyle="1" w:styleId="20">
    <w:name w:val="修订1"/>
    <w:hidden/>
    <w:unhideWhenUsed/>
    <w:qFormat/>
    <w:uiPriority w:val="99"/>
    <w:rPr>
      <w:rFonts w:ascii="Calibri" w:hAnsi="Calibri" w:eastAsia="宋体" w:cs="Times New Roman"/>
      <w:kern w:val="2"/>
      <w:sz w:val="21"/>
      <w:szCs w:val="24"/>
      <w:lang w:val="en-US" w:eastAsia="zh-CN" w:bidi="ar-SA"/>
    </w:rPr>
  </w:style>
  <w:style w:type="paragraph" w:customStyle="1" w:styleId="21">
    <w:name w:val="修订2"/>
    <w:hidden/>
    <w:semiHidden/>
    <w:qFormat/>
    <w:uiPriority w:val="99"/>
    <w:rPr>
      <w:rFonts w:ascii="Calibri" w:hAnsi="Calibri" w:eastAsia="宋体" w:cs="Times New Roman"/>
      <w:kern w:val="2"/>
      <w:sz w:val="21"/>
      <w:szCs w:val="24"/>
      <w:lang w:val="en-US" w:eastAsia="zh-CN" w:bidi="ar-SA"/>
    </w:rPr>
  </w:style>
  <w:style w:type="paragraph" w:customStyle="1" w:styleId="22">
    <w:name w:val="Revision"/>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44ED33-ECC3-4B72-A29B-7FB3BF1F1CD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4</Pages>
  <Words>2076</Words>
  <Characters>2101</Characters>
  <Lines>10</Lines>
  <Paragraphs>2</Paragraphs>
  <TotalTime>13</TotalTime>
  <ScaleCrop>false</ScaleCrop>
  <LinksUpToDate>false</LinksUpToDate>
  <CharactersWithSpaces>2113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2023-08-01T06:19:00Z</dcterms:created>
  <dc:creator>zhaoxinlei</dc:creator>
  <cp:lastModifiedBy>wzt</cp:lastModifiedBy>
  <cp:lastPrinted>2023-08-07T04:37:00Z</cp:lastPrinted>
  <dcterms:modified xsi:type="dcterms:W3CDTF">2024-06-12T03:25:10Z</dcterms:modified>
  <dc:title>三亚市住房和城乡建设局</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C6FFEBB7BEB240BB948E31507F94DD16_13</vt:lpwstr>
  </property>
</Properties>
</file>