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kern w:val="0"/>
          <w:lang w:eastAsia="zh-Hans"/>
        </w:rPr>
      </w:pPr>
      <w:r>
        <w:rPr>
          <w:rFonts w:hint="eastAsia" w:ascii="Times New Roman" w:hAnsi="Times New Roman" w:eastAsia="宋体" w:cstheme="minorBidi"/>
          <w:b/>
          <w:bCs/>
          <w:kern w:val="0"/>
          <w:sz w:val="44"/>
          <w:szCs w:val="32"/>
          <w:lang w:val="en-US" w:eastAsia="zh-Hans" w:bidi="ar-SA"/>
        </w:rPr>
        <w:t>肥料管理登记</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就肥料管理登记适用要件后补信任审批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5"/>
        <w:spacing w:line="560" w:lineRule="exact"/>
      </w:pPr>
      <w:r>
        <w:rPr>
          <w:rFonts w:hint="eastAsia"/>
        </w:rPr>
        <w:t>一、审批依据</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（一）《中华人民共和国农业法》（2012年修正）第二十五条第一款</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（二）《肥料登记管理办法》（2017年修订）第三十条</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（三）《国务院关于取消和下放一批行政许可事项的决定》（国发〔2020〕13号）</w:t>
      </w:r>
    </w:p>
    <w:p>
      <w:pPr>
        <w:pStyle w:val="15"/>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5"/>
        <w:spacing w:line="560" w:lineRule="exact"/>
        <w:rPr>
          <w:rFonts w:hint="eastAsia" w:ascii="仿宋_GB2312" w:hAnsi="仿宋_GB2312" w:eastAsia="仿宋_GB2312" w:cs="仿宋_GB2312"/>
          <w:kern w:val="2"/>
          <w:sz w:val="32"/>
          <w:szCs w:val="36"/>
          <w:lang w:val="en-US" w:eastAsia="zh-Hans" w:bidi="ar-SA"/>
        </w:rPr>
      </w:pPr>
      <w:r>
        <w:rPr>
          <w:rFonts w:hint="eastAsia" w:ascii="仿宋_GB2312" w:hAnsi="仿宋_GB2312" w:eastAsia="仿宋_GB2312" w:cs="仿宋_GB2312"/>
          <w:kern w:val="2"/>
          <w:sz w:val="32"/>
          <w:szCs w:val="36"/>
          <w:lang w:val="en-US" w:eastAsia="zh-Hans" w:bidi="ar-SA"/>
        </w:rPr>
        <w:t>（一）</w:t>
      </w:r>
      <w:r>
        <w:rPr>
          <w:rFonts w:hint="eastAsia" w:ascii="仿宋_GB2312" w:hAnsi="仿宋_GB2312" w:eastAsia="仿宋_GB2312" w:cs="仿宋_GB2312"/>
          <w:kern w:val="2"/>
          <w:sz w:val="32"/>
          <w:szCs w:val="36"/>
          <w:lang w:val="en-US" w:eastAsia="zh-CN" w:bidi="ar-SA"/>
        </w:rPr>
        <w:t>《三亚崖州湾科技城肥料产品登记告知承诺制审批管理暂行办法》（琼农字〔2020〕346号）第四条第一款</w:t>
      </w:r>
      <w:r>
        <w:rPr>
          <w:rFonts w:hint="eastAsia" w:ascii="仿宋_GB2312" w:hAnsi="仿宋_GB2312" w:eastAsia="仿宋_GB2312" w:cs="仿宋_GB2312"/>
          <w:kern w:val="2"/>
          <w:sz w:val="32"/>
          <w:szCs w:val="36"/>
          <w:lang w:val="en-US" w:eastAsia="zh-Hans" w:bidi="ar-SA"/>
        </w:rPr>
        <w:t>；</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Hans" w:bidi="ar-SA"/>
        </w:rPr>
        <w:t>（二）《三亚崖州湾科技城深化承诺制信任审批改革办法》第</w:t>
      </w:r>
      <w:r>
        <w:rPr>
          <w:rFonts w:hint="eastAsia" w:ascii="仿宋_GB2312" w:hAnsi="仿宋_GB2312" w:eastAsia="仿宋_GB2312" w:cs="仿宋_GB2312"/>
          <w:kern w:val="2"/>
          <w:sz w:val="32"/>
          <w:szCs w:val="36"/>
          <w:lang w:val="en-US" w:eastAsia="zh-CN" w:bidi="ar-SA"/>
        </w:rPr>
        <w:t>六</w:t>
      </w:r>
      <w:r>
        <w:rPr>
          <w:rFonts w:hint="eastAsia" w:ascii="仿宋_GB2312" w:hAnsi="仿宋_GB2312" w:eastAsia="仿宋_GB2312" w:cs="仿宋_GB2312"/>
          <w:kern w:val="2"/>
          <w:sz w:val="32"/>
          <w:szCs w:val="36"/>
          <w:lang w:val="en-US" w:eastAsia="zh-Hans" w:bidi="ar-SA"/>
        </w:rPr>
        <w:t>条</w:t>
      </w:r>
      <w:r>
        <w:rPr>
          <w:rFonts w:hint="eastAsia" w:ascii="仿宋_GB2312" w:hAnsi="仿宋_GB2312" w:eastAsia="仿宋_GB2312" w:cs="仿宋_GB2312"/>
          <w:kern w:val="2"/>
          <w:sz w:val="32"/>
          <w:szCs w:val="36"/>
          <w:lang w:val="en-US" w:eastAsia="zh-CN" w:bidi="ar-SA"/>
        </w:rPr>
        <w:t>。</w:t>
      </w:r>
    </w:p>
    <w:p>
      <w:pPr>
        <w:pStyle w:val="15"/>
        <w:spacing w:line="560" w:lineRule="exact"/>
      </w:pPr>
      <w:r>
        <w:rPr>
          <w:rFonts w:hint="eastAsia"/>
          <w:lang w:val="en-US" w:eastAsia="zh-CN"/>
        </w:rPr>
        <w:t>三</w:t>
      </w:r>
      <w:r>
        <w:rPr>
          <w:rFonts w:hint="eastAsia"/>
        </w:rPr>
        <w:t>、办理条件</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1、在三亚崖州湾科技城登记注册、具有独立法人资格的企业。</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2、对经农田长期使用，有国家或行业标准的下列产品免予登记：</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硫酸铵，尿素，硝酸铵，氰氨化钙，磷酸铵（磷酸一铵、二铵），硝酸磷肥，过磷酸钙，氯化钾，硫酸钾，硝酸钾，氯化铵，碳酸氢铵，钙镁磷肥，磷酸二氢钾，单一微量元素肥，高浓度复合肥。</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3、有下列情形的肥料产品，登记申请不予受理：</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（1）不符合国家产业政策的产品；</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（2）知识产权有争议的产品；</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（3）不符合国家有关安全、卫生、环保等国家或行业标准要求的产品。</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4、肥料企业在拟上市销售肥料产品前应达到以下条件：</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（1）质量管理条件：组织机构设置合理，分工明确，职责清晰；有厂级领导主管质量，专人或专门机构负责质量管理；有明确的质量方针、目标，并在实际工作中贯彻执行；办厂手续齐全。</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2）生产条件：有满足生产需要的厂房及车间，设施符合条件要求；原料、辅料与申请资料相符。有与生产规模相适应的原料库及成品库，库房设施符合要求。有生产工艺流程图，生产工序有操作规程，并能按操作规程组织生产；工艺流程与申请资料相符。主要生产设备的类型和数量能满足生产工艺的要求，并与申请资料相符。辅助设施配套齐全，能够保证正常生产和质量要求。关键控制工序有记录，有完整的生产台帐。</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（3）质量检验条件：每批出厂产品都有质量合格证。产品包装袋材质应符合要求，包装袋标识应符合要求。</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若肥料企业尚未建立实验室，应有委托相关单位，签定协议。若建有实验室，应满足有专门的质量检验机构，场所固定，面积和房间满足需要。有专职的检验人员，检验人员应持证上岗。有现行的成品检验标准。检验仪器设备齐全，满足原材料主要指标和成品全项检验的要求；仪器设备与申请资料相符。有计量要求的仪器设备须经计量部门检定，并在有效期内使用。对每批原材料和成品进行检验，并有记录。检验原始记录有固定格式，设计规范，填写清晰，有检验人员和审核人员签字。</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（4）规章制度条件：具有完善的质量管理制度、质量责任制度、成品检验制度、不合格产品处理制度（有措施保证不合格产品不出厂）、生产管理制度、生产设备管理及维护制度、产品存放及出库制度。</w:t>
      </w:r>
    </w:p>
    <w:p>
      <w:pPr>
        <w:pStyle w:val="15"/>
        <w:spacing w:line="560" w:lineRule="exact"/>
        <w:rPr>
          <w:rFonts w:hint="eastAsia" w:ascii="仿宋_GB2312" w:hAnsi="仿宋_GB2312" w:eastAsia="仿宋_GB2312" w:cs="仿宋_GB2312"/>
          <w:kern w:val="2"/>
          <w:sz w:val="32"/>
          <w:szCs w:val="36"/>
          <w:lang w:val="en-US" w:eastAsia="zh-CN" w:bidi="ar-SA"/>
        </w:rPr>
      </w:pPr>
      <w:r>
        <w:rPr>
          <w:rFonts w:hint="eastAsia" w:ascii="仿宋_GB2312" w:hAnsi="仿宋_GB2312" w:eastAsia="仿宋_GB2312" w:cs="仿宋_GB2312"/>
          <w:kern w:val="2"/>
          <w:sz w:val="32"/>
          <w:szCs w:val="36"/>
          <w:lang w:val="en-US" w:eastAsia="zh-CN" w:bidi="ar-SA"/>
        </w:rPr>
        <w:t>（5）肥料企业应当具备《中华人民共和国安全生产法》和有关法律、行政法规和国家标准或者行业标准规定的安全生产条件；不具备安全生产条件的，不得从事生产经营活动。</w:t>
      </w:r>
    </w:p>
    <w:p>
      <w:pPr>
        <w:pStyle w:val="15"/>
        <w:spacing w:line="560" w:lineRule="exact"/>
        <w:rPr>
          <w:rFonts w:hint="eastAsia"/>
          <w:lang w:val="en-US" w:eastAsia="zh-CN"/>
        </w:rPr>
      </w:pPr>
      <w:r>
        <w:rPr>
          <w:rFonts w:hint="eastAsia"/>
          <w:lang w:val="en-US" w:eastAsia="zh-CN"/>
        </w:rPr>
        <w:t>四、应当提交的申请材料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49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494" w:type="dxa"/>
            <w:vAlign w:val="center"/>
          </w:tcPr>
          <w:p>
            <w:pPr>
              <w:spacing w:line="360" w:lineRule="exact"/>
              <w:jc w:val="center"/>
              <w:rPr>
                <w:b/>
                <w:bCs/>
                <w:kern w:val="0"/>
                <w:sz w:val="24"/>
                <w:szCs w:val="24"/>
              </w:rPr>
            </w:pPr>
            <w:r>
              <w:rPr>
                <w:rFonts w:hint="eastAsia"/>
                <w:b/>
                <w:bCs/>
                <w:kern w:val="0"/>
                <w:sz w:val="24"/>
                <w:szCs w:val="24"/>
              </w:rPr>
              <w:t>材料要求</w:t>
            </w:r>
          </w:p>
        </w:tc>
        <w:tc>
          <w:tcPr>
            <w:tcW w:w="1475"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肥料登记申请表</w:t>
            </w:r>
          </w:p>
        </w:tc>
        <w:tc>
          <w:tcPr>
            <w:tcW w:w="2494"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pStyle w:val="9"/>
              <w:widowControl/>
              <w:shd w:val="clear" w:color="auto" w:fill="FFFFFF"/>
              <w:wordWrap w:val="0"/>
              <w:spacing w:beforeAutospacing="0" w:afterAutospacing="0"/>
              <w:jc w:val="both"/>
              <w:rPr>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2</w:t>
            </w:r>
          </w:p>
        </w:tc>
        <w:tc>
          <w:tcPr>
            <w:tcW w:w="600" w:type="dxa"/>
            <w:vMerge w:val="restart"/>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肥料企业基本情况</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份数:1份 </w:t>
            </w:r>
          </w:p>
        </w:tc>
        <w:tc>
          <w:tcPr>
            <w:tcW w:w="1475" w:type="dxa"/>
            <w:vMerge w:val="restart"/>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签订《要件后补信任审批承诺书》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default"/>
                <w:kern w:val="0"/>
                <w:sz w:val="24"/>
                <w:szCs w:val="24"/>
                <w:lang w:val="en-US" w:eastAsia="zh-CN"/>
              </w:rPr>
            </w:pPr>
            <w:r>
              <w:rPr>
                <w:rFonts w:hint="eastAsia"/>
                <w:kern w:val="0"/>
                <w:sz w:val="24"/>
                <w:szCs w:val="24"/>
                <w:lang w:val="en-US" w:eastAsia="zh-CN"/>
              </w:rPr>
              <w:t>3</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生产设备和生产条件及照片</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份数:1份 </w:t>
            </w:r>
          </w:p>
        </w:tc>
        <w:tc>
          <w:tcPr>
            <w:tcW w:w="1475" w:type="dxa"/>
            <w:vMerge w:val="continue"/>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default"/>
                <w:kern w:val="0"/>
                <w:sz w:val="24"/>
                <w:szCs w:val="24"/>
                <w:lang w:val="en-US" w:eastAsia="zh-CN"/>
              </w:rPr>
            </w:pPr>
            <w:r>
              <w:rPr>
                <w:rFonts w:hint="eastAsia"/>
                <w:kern w:val="0"/>
                <w:sz w:val="24"/>
                <w:szCs w:val="24"/>
                <w:lang w:val="en-US" w:eastAsia="zh-CN"/>
              </w:rPr>
              <w:t>4</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租赁、合作的，应提交合同等相关资料）</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份数:1份 </w:t>
            </w:r>
          </w:p>
        </w:tc>
        <w:tc>
          <w:tcPr>
            <w:tcW w:w="1475" w:type="dxa"/>
            <w:vMerge w:val="continue"/>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default"/>
                <w:kern w:val="0"/>
                <w:sz w:val="24"/>
                <w:szCs w:val="24"/>
                <w:lang w:val="en-US" w:eastAsia="zh-CN"/>
              </w:rPr>
            </w:pPr>
            <w:r>
              <w:rPr>
                <w:rFonts w:hint="eastAsia"/>
                <w:kern w:val="0"/>
                <w:sz w:val="24"/>
                <w:szCs w:val="24"/>
                <w:lang w:val="en-US" w:eastAsia="zh-CN"/>
              </w:rPr>
              <w:t>5</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产品标签样式</w:t>
            </w:r>
          </w:p>
        </w:tc>
        <w:tc>
          <w:tcPr>
            <w:tcW w:w="2494"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kern w:val="0"/>
                <w:sz w:val="24"/>
                <w:szCs w:val="24"/>
              </w:rPr>
              <w:t xml:space="preserve"> </w:t>
            </w:r>
          </w:p>
        </w:tc>
        <w:tc>
          <w:tcPr>
            <w:tcW w:w="1475" w:type="dxa"/>
            <w:vMerge w:val="continue"/>
            <w:vAlign w:val="center"/>
          </w:tcPr>
          <w:p>
            <w:pPr>
              <w:spacing w:line="360" w:lineRule="exact"/>
              <w:jc w:val="center"/>
              <w:rPr>
                <w:rFonts w:hint="eastAsia"/>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default"/>
                <w:kern w:val="0"/>
                <w:sz w:val="24"/>
                <w:szCs w:val="24"/>
                <w:lang w:val="en-US" w:eastAsia="zh-CN"/>
              </w:rPr>
            </w:pPr>
            <w:r>
              <w:rPr>
                <w:rFonts w:hint="eastAsia"/>
                <w:kern w:val="0"/>
                <w:sz w:val="24"/>
                <w:szCs w:val="24"/>
                <w:lang w:val="en-US" w:eastAsia="zh-CN"/>
              </w:rPr>
              <w:t>6</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检验资料情况</w:t>
            </w:r>
          </w:p>
        </w:tc>
        <w:tc>
          <w:tcPr>
            <w:tcW w:w="2494"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kern w:val="0"/>
                <w:sz w:val="24"/>
                <w:szCs w:val="24"/>
              </w:rPr>
              <w:t xml:space="preserve"> </w:t>
            </w:r>
          </w:p>
        </w:tc>
        <w:tc>
          <w:tcPr>
            <w:tcW w:w="1475" w:type="dxa"/>
            <w:vMerge w:val="continue"/>
            <w:vAlign w:val="center"/>
          </w:tcPr>
          <w:p>
            <w:pPr>
              <w:spacing w:line="360" w:lineRule="exact"/>
              <w:jc w:val="center"/>
              <w:rPr>
                <w:rFonts w:hint="eastAsia"/>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default"/>
                <w:kern w:val="0"/>
                <w:sz w:val="24"/>
                <w:szCs w:val="24"/>
                <w:lang w:val="en-US" w:eastAsia="zh-CN"/>
              </w:rPr>
            </w:pPr>
            <w:r>
              <w:rPr>
                <w:rFonts w:hint="eastAsia"/>
                <w:kern w:val="0"/>
                <w:sz w:val="24"/>
                <w:szCs w:val="24"/>
                <w:lang w:val="en-US" w:eastAsia="zh-CN"/>
              </w:rPr>
              <w:t>7</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产品检验报告</w:t>
            </w:r>
          </w:p>
        </w:tc>
        <w:tc>
          <w:tcPr>
            <w:tcW w:w="2494"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kern w:val="0"/>
                <w:sz w:val="24"/>
                <w:szCs w:val="24"/>
              </w:rPr>
              <w:t xml:space="preserve"> </w:t>
            </w:r>
          </w:p>
        </w:tc>
        <w:tc>
          <w:tcPr>
            <w:tcW w:w="1475" w:type="dxa"/>
            <w:vMerge w:val="continue"/>
            <w:vAlign w:val="center"/>
          </w:tcPr>
          <w:p>
            <w:pPr>
              <w:spacing w:line="360" w:lineRule="exact"/>
              <w:jc w:val="center"/>
              <w:rPr>
                <w:rFonts w:hint="eastAsia"/>
                <w:kern w:val="0"/>
                <w:sz w:val="24"/>
                <w:szCs w:val="24"/>
                <w:lang w:val="en-US" w:eastAsia="zh-CN"/>
              </w:rPr>
            </w:pP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5"/>
      <w:bookmarkStart w:id="1" w:name="OLE_LINK14"/>
      <w:bookmarkStart w:id="2" w:name="OLE_LINK13"/>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个工作日</w:t>
      </w:r>
      <w:bookmarkEnd w:id="0"/>
      <w:bookmarkEnd w:id="1"/>
      <w:bookmarkEnd w:id="2"/>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w:t>
      </w:r>
      <w:r>
        <w:rPr>
          <w:rFonts w:hint="eastAsia"/>
          <w:lang w:val="en-US" w:eastAsia="zh-CN"/>
        </w:rPr>
        <w:t>一</w:t>
      </w:r>
      <w:r>
        <w:rPr>
          <w:rFonts w:hint="eastAsia"/>
        </w:rPr>
        <w:t>）申请人伪造申请材料或申请材料涉及内容弄虚作假，骗取相关批准文件，或现场核实申请人实际情况与承诺内容不符的，科技城管理局将要求其限期整改。</w:t>
      </w:r>
    </w:p>
    <w:p>
      <w:pPr>
        <w:spacing w:line="560" w:lineRule="exact"/>
        <w:ind w:firstLine="640"/>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spacing w:line="560" w:lineRule="exact"/>
        <w:ind w:firstLine="640"/>
      </w:pPr>
      <w:r>
        <w:rPr>
          <w:rFonts w:hint="eastAsia"/>
        </w:rPr>
        <w:t>（三）事中事后监管发现项目有下列情形之一的，科技城管理局在依法撤销行政审批决定的同时，推送给执法部门依法处理，并将相关失信行为纳入三亚市公共信用信息平台：</w:t>
      </w:r>
      <w:bookmarkStart w:id="3" w:name="_GoBack"/>
      <w:bookmarkEnd w:id="3"/>
    </w:p>
    <w:p>
      <w:pPr>
        <w:spacing w:line="560" w:lineRule="exact"/>
        <w:ind w:firstLine="640"/>
      </w:pPr>
      <w:r>
        <w:rPr>
          <w:rFonts w:hint="eastAsia"/>
        </w:rPr>
        <w:t>1. 应限期整改，但逾期拒不整改或整改后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失信行为被录入诚信管理档案后，申请人可以在一年内向科技城管理局申请将当次失信行为从其诚信管理档案移除。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2"/>
        <w:ind w:firstLine="640"/>
      </w:pPr>
    </w:p>
    <w:p>
      <w:pPr>
        <w:pStyle w:val="2"/>
        <w:ind w:firstLine="640"/>
      </w:pPr>
    </w:p>
    <w:p>
      <w:pPr>
        <w:ind w:firstLine="640" w:firstLineChars="200"/>
        <w:jc w:val="center"/>
      </w:pPr>
      <w:r>
        <w:rPr>
          <w:rFonts w:hint="eastAsia"/>
          <w:lang w:val="en-US" w:eastAsia="zh-CN"/>
        </w:rPr>
        <w:t xml:space="preserve">                    </w:t>
      </w:r>
      <w:r>
        <w:rPr>
          <w:rFonts w:hint="eastAsia"/>
        </w:rPr>
        <w:t>三亚崖州湾科技城管理局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Hans"/>
        </w:rPr>
        <w:t>肥料管理登记</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申请人于____年___月___日收到肥料管理登记审批事项信任审批告知书，现就申请肥料管理登记审批事项，作出下列承诺：</w:t>
      </w:r>
    </w:p>
    <w:p>
      <w:pPr>
        <w:spacing w:line="578" w:lineRule="exact"/>
        <w:ind w:firstLine="640"/>
        <w:rPr>
          <w:color w:val="FF0000"/>
          <w:kern w:val="0"/>
          <w:szCs w:val="32"/>
        </w:rPr>
      </w:pPr>
      <w:r>
        <w:rPr>
          <w:rFonts w:hint="eastAsia"/>
        </w:rPr>
        <w:t>本</w:t>
      </w:r>
      <w:r>
        <w:rPr>
          <w:rFonts w:hint="eastAsia"/>
          <w:lang w:val="en-US" w:eastAsia="zh-CN"/>
        </w:rPr>
        <w:t>事项</w:t>
      </w:r>
      <w:r>
        <w:rPr>
          <w:rFonts w:hint="eastAsia"/>
        </w:rPr>
        <w:t>满足如下要求：</w:t>
      </w:r>
    </w:p>
    <w:p>
      <w:pPr>
        <w:ind w:firstLine="640" w:firstLineChars="200"/>
        <w:rPr>
          <w:color w:val="auto"/>
          <w:kern w:val="0"/>
          <w:szCs w:val="32"/>
        </w:rPr>
      </w:pPr>
      <w:r>
        <w:rPr>
          <w:rFonts w:hint="eastAsia"/>
          <w:kern w:val="0"/>
          <w:szCs w:val="32"/>
        </w:rPr>
        <w:t>一、申请人作出符合申请登记条件的承诺，并提交肥料登记申请书和签章的肥料登记承诺书的，审批部门对申请人提交的材料进行形式审查，审查通过的，当日核发肥料登记证。准予审批决定作出后，</w:t>
      </w:r>
      <w:r>
        <w:rPr>
          <w:rFonts w:hint="eastAsia"/>
          <w:kern w:val="0"/>
          <w:szCs w:val="32"/>
          <w:lang w:val="en-US" w:eastAsia="zh-CN"/>
        </w:rPr>
        <w:t>申请人</w:t>
      </w:r>
      <w:r>
        <w:rPr>
          <w:rFonts w:hint="eastAsia"/>
          <w:kern w:val="0"/>
          <w:szCs w:val="32"/>
        </w:rPr>
        <w:t>按时提交《三亚崖州湾科技城肥料产品登记告知承诺制审批管理暂行办法》要求的材料，承诺交付材料时间：      年    月    日前</w:t>
      </w:r>
      <w:r>
        <w:rPr>
          <w:rFonts w:hint="eastAsia"/>
          <w:kern w:val="0"/>
          <w:szCs w:val="32"/>
          <w:lang w:eastAsia="zh-CN"/>
        </w:rPr>
        <w:t>，</w:t>
      </w:r>
      <w:r>
        <w:rPr>
          <w:rFonts w:hint="eastAsia"/>
          <w:kern w:val="0"/>
          <w:szCs w:val="32"/>
        </w:rPr>
        <w:t>申请人提交材料的时间不得超过自审批决定作出之日起两年。</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三、知晓全部告知内容，所填信息真实准确且是申请人真实意愿的表示</w:t>
      </w:r>
      <w:r>
        <w:rPr>
          <w:rFonts w:hint="eastAsia" w:ascii="仿宋_GB2312" w:hAnsi="仿宋_GB2312" w:cs="仿宋_GB2312"/>
          <w:bCs/>
          <w:color w:val="000000" w:themeColor="text1"/>
          <w:szCs w:val="32"/>
          <w:lang w:eastAsia="zh-CN"/>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能够满足告知承诺制审批的全部条件、标准和技术要求。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申请人在承诺期内拟上市销售肥料产品的，应当在销售肥料产品前告知审批部门，并提交</w:t>
      </w:r>
      <w:r>
        <w:rPr>
          <w:rFonts w:hint="eastAsia"/>
          <w:kern w:val="0"/>
          <w:szCs w:val="32"/>
          <w:lang w:val="en-US" w:eastAsia="zh-CN"/>
        </w:rPr>
        <w:t>肥料企业基本情况（包括生产规模、生产设备和生产条件及照片；租赁、合作的，应提交合同等相关资料）；产品标签样式（符合《肥料标识内容和要求》（“GB18382—2001”规定）；检验资料情况（自行检验的，提供检验设备品牌、型号、检验项目类别、照片等资料；如是委托检测的，提供有效期1年以上的委托检测协议书）；产品检验报告（具备CMA认证资质的检测单位出具，有效期在6个月内）</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2"/>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1NjViZTViOTk4OTE2YjJjZWJlMmQ3ZWI3NmFhMDUifQ=="/>
  </w:docVars>
  <w:rsids>
    <w:rsidRoot w:val="006C0930"/>
    <w:rsid w:val="006C0930"/>
    <w:rsid w:val="00B93F2F"/>
    <w:rsid w:val="00E300EF"/>
    <w:rsid w:val="00ED4E18"/>
    <w:rsid w:val="00F3518A"/>
    <w:rsid w:val="012E5091"/>
    <w:rsid w:val="039045A4"/>
    <w:rsid w:val="07DF79E4"/>
    <w:rsid w:val="09A35334"/>
    <w:rsid w:val="0C3138F9"/>
    <w:rsid w:val="0C8925B5"/>
    <w:rsid w:val="0DD56466"/>
    <w:rsid w:val="0DE8243E"/>
    <w:rsid w:val="0E7865B0"/>
    <w:rsid w:val="0FF7280A"/>
    <w:rsid w:val="1072694C"/>
    <w:rsid w:val="11B15717"/>
    <w:rsid w:val="14755BFA"/>
    <w:rsid w:val="191D2E44"/>
    <w:rsid w:val="1ADC7D3D"/>
    <w:rsid w:val="1F076744"/>
    <w:rsid w:val="1FE52BBD"/>
    <w:rsid w:val="213932D7"/>
    <w:rsid w:val="23460033"/>
    <w:rsid w:val="23BA5F61"/>
    <w:rsid w:val="23F36950"/>
    <w:rsid w:val="240D6262"/>
    <w:rsid w:val="24A90176"/>
    <w:rsid w:val="27A22E25"/>
    <w:rsid w:val="29D45B15"/>
    <w:rsid w:val="2C4F2564"/>
    <w:rsid w:val="2E3451BE"/>
    <w:rsid w:val="2E3C6D96"/>
    <w:rsid w:val="2F57478F"/>
    <w:rsid w:val="2F9F5711"/>
    <w:rsid w:val="302A1734"/>
    <w:rsid w:val="30C661DB"/>
    <w:rsid w:val="317B51A6"/>
    <w:rsid w:val="320B72FE"/>
    <w:rsid w:val="331722DE"/>
    <w:rsid w:val="33BC0CFC"/>
    <w:rsid w:val="36934F4F"/>
    <w:rsid w:val="37D42061"/>
    <w:rsid w:val="38F21593"/>
    <w:rsid w:val="3B194FEF"/>
    <w:rsid w:val="3C576AA3"/>
    <w:rsid w:val="3D2D18F1"/>
    <w:rsid w:val="3E1A7695"/>
    <w:rsid w:val="3E4A45CD"/>
    <w:rsid w:val="40D239CA"/>
    <w:rsid w:val="436B6698"/>
    <w:rsid w:val="439A66A4"/>
    <w:rsid w:val="444D416E"/>
    <w:rsid w:val="45CB1752"/>
    <w:rsid w:val="47206E0E"/>
    <w:rsid w:val="48632018"/>
    <w:rsid w:val="491A0F78"/>
    <w:rsid w:val="4A332998"/>
    <w:rsid w:val="4AFC6911"/>
    <w:rsid w:val="4BFC3AFA"/>
    <w:rsid w:val="4C0859B5"/>
    <w:rsid w:val="500373A2"/>
    <w:rsid w:val="51C54DF3"/>
    <w:rsid w:val="52201C2E"/>
    <w:rsid w:val="52B95DF2"/>
    <w:rsid w:val="53893DE8"/>
    <w:rsid w:val="541C051F"/>
    <w:rsid w:val="54F975CB"/>
    <w:rsid w:val="55725C12"/>
    <w:rsid w:val="57DE2E9E"/>
    <w:rsid w:val="5A8C487F"/>
    <w:rsid w:val="5A9E49E8"/>
    <w:rsid w:val="5BAA18F8"/>
    <w:rsid w:val="5C0A1C22"/>
    <w:rsid w:val="5D5830EA"/>
    <w:rsid w:val="632F6296"/>
    <w:rsid w:val="652329C0"/>
    <w:rsid w:val="65A374A8"/>
    <w:rsid w:val="677C1983"/>
    <w:rsid w:val="678B7459"/>
    <w:rsid w:val="67FA3A48"/>
    <w:rsid w:val="685D19E9"/>
    <w:rsid w:val="6C4C715B"/>
    <w:rsid w:val="6D39510C"/>
    <w:rsid w:val="6E1E253D"/>
    <w:rsid w:val="6E674C86"/>
    <w:rsid w:val="6E7D6C4A"/>
    <w:rsid w:val="6F771471"/>
    <w:rsid w:val="70BB5E49"/>
    <w:rsid w:val="722941BE"/>
    <w:rsid w:val="722C2C87"/>
    <w:rsid w:val="7391778E"/>
    <w:rsid w:val="749A308C"/>
    <w:rsid w:val="76032ADB"/>
    <w:rsid w:val="768F14CF"/>
    <w:rsid w:val="7B8B7521"/>
    <w:rsid w:val="7BE17FF8"/>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qFormat/>
    <w:uiPriority w:val="0"/>
    <w:pPr>
      <w:autoSpaceDE w:val="0"/>
      <w:autoSpaceDN w:val="0"/>
      <w:adjustRightInd w:val="0"/>
      <w:jc w:val="left"/>
    </w:pPr>
    <w:rPr>
      <w:rFonts w:ascii="宋体"/>
      <w:kern w:val="0"/>
      <w:sz w:val="2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样式1"/>
    <w:basedOn w:val="1"/>
    <w:qFormat/>
    <w:uiPriority w:val="0"/>
    <w:pPr>
      <w:shd w:val="clear" w:color="auto" w:fill="FFFFFF"/>
      <w:spacing w:line="620" w:lineRule="exact"/>
      <w:jc w:val="right"/>
    </w:pPr>
    <w:rPr>
      <w:color w:val="000000"/>
      <w:kern w:val="0"/>
      <w:szCs w:val="32"/>
    </w:rPr>
  </w:style>
  <w:style w:type="paragraph" w:customStyle="1" w:styleId="15">
    <w:name w:val="样式3"/>
    <w:basedOn w:val="1"/>
    <w:qFormat/>
    <w:uiPriority w:val="0"/>
    <w:pPr>
      <w:ind w:firstLine="640"/>
    </w:pPr>
    <w:rPr>
      <w:rFonts w:ascii="黑体" w:hAnsi="黑体" w:eastAsia="黑体"/>
    </w:rPr>
  </w:style>
  <w:style w:type="character" w:customStyle="1" w:styleId="16">
    <w:name w:val="页眉 字符"/>
    <w:basedOn w:val="11"/>
    <w:link w:val="8"/>
    <w:qFormat/>
    <w:uiPriority w:val="0"/>
    <w:rPr>
      <w:rFonts w:eastAsia="仿宋_GB2312" w:cstheme="minorBidi"/>
      <w:kern w:val="2"/>
      <w:sz w:val="18"/>
      <w:szCs w:val="18"/>
    </w:rPr>
  </w:style>
  <w:style w:type="paragraph" w:customStyle="1" w:styleId="17">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3119</Words>
  <Characters>3157</Characters>
  <Lines>14</Lines>
  <Paragraphs>4</Paragraphs>
  <TotalTime>0</TotalTime>
  <ScaleCrop>false</ScaleCrop>
  <LinksUpToDate>false</LinksUpToDate>
  <CharactersWithSpaces>3312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2023-04-28T07:01:29Z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14C33D615CB7477F41510D644FAF3F98_43</vt:lpwstr>
  </property>
</Properties>
</file>