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kern w:val="0"/>
        </w:rPr>
      </w:pPr>
      <w:r>
        <w:rPr>
          <w:kern w:val="0"/>
        </w:rPr>
        <w:t>环境影响</w:t>
      </w:r>
      <w:bookmarkStart w:id="3" w:name="_GoBack"/>
      <w:bookmarkEnd w:id="3"/>
      <w:r>
        <w:rPr>
          <w:kern w:val="0"/>
        </w:rPr>
        <w:t>评价报告表许可</w:t>
      </w:r>
    </w:p>
    <w:p>
      <w:pPr>
        <w:pStyle w:val="4"/>
        <w:rPr>
          <w:kern w:val="0"/>
        </w:rPr>
      </w:pPr>
      <w:r>
        <w:rPr>
          <w:kern w:val="0"/>
        </w:rPr>
        <w:t>（除核与辐射类项目外）</w:t>
      </w:r>
    </w:p>
    <w:p>
      <w:pPr>
        <w:pStyle w:val="4"/>
        <w:rPr>
          <w:kern w:val="0"/>
        </w:rPr>
      </w:pPr>
      <w:r>
        <w:rPr>
          <w:rFonts w:hint="eastAsia"/>
          <w:kern w:val="0"/>
        </w:rPr>
        <w:t>全信任审批告知书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cs="仿宋_GB2312"/>
          <w:bCs/>
          <w:szCs w:val="32"/>
          <w:lang w:eastAsia="zh-Hans"/>
        </w:rPr>
        <w:t>三亚崖州湾科技城管理局（以下简称“科技城管理局”）</w:t>
      </w:r>
      <w:r>
        <w:rPr>
          <w:rFonts w:hint="eastAsia"/>
          <w:kern w:val="0"/>
          <w:szCs w:val="32"/>
        </w:rPr>
        <w:t>就环境影响评价报告表许可（除核与辐射类项目外）适用全信任</w:t>
      </w:r>
      <w:r>
        <w:rPr>
          <w:rFonts w:hint="eastAsia"/>
          <w:color w:val="000000" w:themeColor="text1"/>
          <w:kern w:val="0"/>
          <w:szCs w:val="32"/>
          <w14:textFill>
            <w14:solidFill>
              <w14:schemeClr w14:val="tx1"/>
            </w14:solidFill>
          </w14:textFill>
        </w:rPr>
        <w:t>审批事项告</w:t>
      </w:r>
      <w:r>
        <w:rPr>
          <w:rFonts w:hint="eastAsia"/>
          <w:kern w:val="0"/>
          <w:szCs w:val="32"/>
        </w:rPr>
        <w:t>知如下：</w:t>
      </w:r>
    </w:p>
    <w:p>
      <w:pPr>
        <w:pStyle w:val="22"/>
        <w:spacing w:line="560" w:lineRule="exact"/>
      </w:pPr>
      <w:r>
        <w:rPr>
          <w:rFonts w:hint="eastAsia"/>
        </w:rPr>
        <w:t>一、审批依据</w:t>
      </w:r>
    </w:p>
    <w:p>
      <w:pPr>
        <w:numPr>
          <w:ilvl w:val="0"/>
          <w:numId w:val="1"/>
        </w:numPr>
        <w:shd w:val="clear" w:color="auto" w:fill="FFFFFF"/>
        <w:spacing w:line="560" w:lineRule="exact"/>
        <w:ind w:firstLine="640"/>
        <w:rPr>
          <w:snapToGrid w:val="0"/>
          <w:kern w:val="0"/>
          <w:szCs w:val="32"/>
        </w:rPr>
      </w:pPr>
      <w:r>
        <w:rPr>
          <w:rFonts w:hint="eastAsia"/>
          <w:snapToGrid w:val="0"/>
          <w:color w:val="000000" w:themeColor="text1"/>
          <w:kern w:val="0"/>
          <w:szCs w:val="32"/>
          <w14:textFill>
            <w14:solidFill>
              <w14:schemeClr w14:val="tx1"/>
            </w14:solidFill>
          </w14:textFill>
        </w:rPr>
        <w:t>《中华人民共和国环境保护法》（2014</w:t>
      </w:r>
      <w:r>
        <w:rPr>
          <w:rFonts w:hint="eastAsia"/>
          <w:snapToGrid w:val="0"/>
          <w:color w:val="000000" w:themeColor="text1"/>
          <w:kern w:val="0"/>
          <w:szCs w:val="32"/>
          <w:lang w:val="en-US" w:eastAsia="zh-CN"/>
          <w14:textFill>
            <w14:solidFill>
              <w14:schemeClr w14:val="tx1"/>
            </w14:solidFill>
          </w14:textFill>
        </w:rPr>
        <w:t>修订</w:t>
      </w:r>
      <w:r>
        <w:rPr>
          <w:rFonts w:hint="eastAsia"/>
          <w:snapToGrid w:val="0"/>
          <w:color w:val="000000" w:themeColor="text1"/>
          <w:kern w:val="0"/>
          <w:szCs w:val="32"/>
          <w14:textFill>
            <w14:solidFill>
              <w14:schemeClr w14:val="tx1"/>
            </w14:solidFill>
          </w14:textFill>
        </w:rPr>
        <w:t>） 第十九条</w:t>
      </w:r>
      <w:r>
        <w:rPr>
          <w:rFonts w:hint="eastAsia"/>
          <w:snapToGrid w:val="0"/>
          <w:kern w:val="0"/>
          <w:szCs w:val="32"/>
        </w:rPr>
        <w:t>；</w:t>
      </w:r>
    </w:p>
    <w:p>
      <w:pPr>
        <w:shd w:val="clear" w:color="auto" w:fill="FFFFFF"/>
        <w:spacing w:line="560" w:lineRule="exact"/>
        <w:ind w:firstLine="640" w:firstLineChars="200"/>
        <w:rPr>
          <w:snapToGrid w:val="0"/>
          <w:color w:val="000000" w:themeColor="text1"/>
          <w:kern w:val="0"/>
          <w:szCs w:val="32"/>
          <w:lang w:eastAsia="zh-Hans"/>
          <w14:textFill>
            <w14:solidFill>
              <w14:schemeClr w14:val="tx1"/>
            </w14:solidFill>
          </w14:textFill>
        </w:rPr>
      </w:pPr>
      <w:r>
        <w:rPr>
          <w:rFonts w:hint="eastAsia"/>
          <w:snapToGrid w:val="0"/>
          <w:color w:val="000000" w:themeColor="text1"/>
          <w:kern w:val="0"/>
          <w:szCs w:val="32"/>
          <w14:textFill>
            <w14:solidFill>
              <w14:schemeClr w14:val="tx1"/>
            </w14:solidFill>
          </w14:textFill>
        </w:rPr>
        <w:t>（二）《中华人民共和国环境影响评价法》（2018年修</w:t>
      </w:r>
      <w:r>
        <w:rPr>
          <w:rFonts w:hint="eastAsia"/>
          <w:snapToGrid w:val="0"/>
          <w:color w:val="000000" w:themeColor="text1"/>
          <w:kern w:val="0"/>
          <w:szCs w:val="32"/>
          <w:lang w:val="en-US" w:eastAsia="zh-CN"/>
          <w14:textFill>
            <w14:solidFill>
              <w14:schemeClr w14:val="tx1"/>
            </w14:solidFill>
          </w14:textFill>
        </w:rPr>
        <w:t>订</w:t>
      </w:r>
      <w:r>
        <w:rPr>
          <w:rFonts w:hint="eastAsia"/>
          <w:snapToGrid w:val="0"/>
          <w:color w:val="000000" w:themeColor="text1"/>
          <w:kern w:val="0"/>
          <w:szCs w:val="32"/>
          <w14:textFill>
            <w14:solidFill>
              <w14:schemeClr w14:val="tx1"/>
            </w14:solidFill>
          </w14:textFill>
        </w:rPr>
        <w:t>） 第十六条</w:t>
      </w:r>
      <w:r>
        <w:rPr>
          <w:rFonts w:hint="eastAsia"/>
          <w:snapToGrid w:val="0"/>
          <w:color w:val="000000" w:themeColor="text1"/>
          <w:kern w:val="0"/>
          <w:szCs w:val="32"/>
          <w:lang w:eastAsia="zh-Hans"/>
          <w14:textFill>
            <w14:solidFill>
              <w14:schemeClr w14:val="tx1"/>
            </w14:solidFill>
          </w14:textFill>
        </w:rPr>
        <w:t>。</w:t>
      </w:r>
    </w:p>
    <w:p>
      <w:pPr>
        <w:pStyle w:val="22"/>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全信任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5"/>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（一）《三亚崖州湾科技城管理局关于修订《三亚崖州湾科技城建设项目环境影响评价承诺备案制实施办法》的通知》（三科技城规〔2022〕7号）第</w:t>
      </w:r>
      <w:r>
        <w:rPr>
          <w:rFonts w:hint="eastAsia"/>
          <w:color w:val="000000" w:themeColor="text1"/>
          <w:kern w:val="0"/>
          <w:szCs w:val="32"/>
          <w:lang w:val="en-US" w:eastAsia="zh-CN"/>
          <w14:textFill>
            <w14:solidFill>
              <w14:schemeClr w14:val="tx1"/>
            </w14:solidFill>
          </w14:textFill>
        </w:rPr>
        <w:t>四</w:t>
      </w:r>
      <w:r>
        <w:rPr>
          <w:rFonts w:hint="eastAsia"/>
          <w:color w:val="000000" w:themeColor="text1"/>
          <w:kern w:val="0"/>
          <w:szCs w:val="32"/>
          <w:lang w:eastAsia="zh-Hans"/>
          <w14:textFill>
            <w14:solidFill>
              <w14:schemeClr w14:val="tx1"/>
            </w14:solidFill>
          </w14:textFill>
        </w:rPr>
        <w:t>条；</w:t>
      </w:r>
    </w:p>
    <w:p>
      <w:pPr>
        <w:pStyle w:val="5"/>
        <w:ind w:firstLine="64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22"/>
        <w:spacing w:line="560" w:lineRule="exact"/>
      </w:pPr>
      <w:r>
        <w:rPr>
          <w:rFonts w:hint="eastAsia"/>
          <w:lang w:eastAsia="zh-Hans"/>
        </w:rPr>
        <w:t>三</w:t>
      </w:r>
      <w:r>
        <w:rPr>
          <w:rFonts w:hint="eastAsia"/>
        </w:rPr>
        <w:t>、办理条件</w:t>
      </w:r>
    </w:p>
    <w:p>
      <w:pPr>
        <w:spacing w:line="560" w:lineRule="exact"/>
        <w:ind w:firstLine="640" w:firstLineChars="200"/>
        <w:rPr>
          <w:kern w:val="0"/>
          <w:szCs w:val="32"/>
        </w:rPr>
      </w:pPr>
      <w:r>
        <w:rPr>
          <w:rFonts w:hint="eastAsia"/>
          <w:kern w:val="0"/>
          <w:szCs w:val="32"/>
        </w:rPr>
        <w:t>（一）根据</w:t>
      </w:r>
      <w:r>
        <w:rPr>
          <w:rFonts w:hint="eastAsia"/>
          <w:snapToGrid w:val="0"/>
          <w:color w:val="000000" w:themeColor="text1"/>
          <w:kern w:val="0"/>
          <w:szCs w:val="32"/>
          <w14:textFill>
            <w14:solidFill>
              <w14:schemeClr w14:val="tx1"/>
            </w14:solidFill>
          </w14:textFill>
        </w:rPr>
        <w:t>《中华人民共和国环境保护法》《中华人民共和国环境影响评价法》《建设项目环境影响评价分类管理名录（2021年版）》等法律法规规定，应当编制环境影响报告表的项目</w:t>
      </w:r>
      <w:r>
        <w:rPr>
          <w:rFonts w:hint="eastAsia"/>
          <w:kern w:val="0"/>
          <w:szCs w:val="32"/>
        </w:rPr>
        <w:t>；</w:t>
      </w:r>
    </w:p>
    <w:p>
      <w:pPr>
        <w:ind w:firstLine="640" w:firstLineChars="200"/>
        <w:rPr>
          <w:kern w:val="0"/>
          <w:szCs w:val="32"/>
        </w:rPr>
      </w:pPr>
      <w:r>
        <w:rPr>
          <w:rFonts w:hint="eastAsia"/>
          <w:kern w:val="0"/>
          <w:szCs w:val="32"/>
        </w:rPr>
        <w:t>（二）项目选址位于三亚崖州湾管理局行政审批权限范围内，</w:t>
      </w:r>
      <w:r>
        <w:rPr>
          <w:rFonts w:hint="eastAsia"/>
          <w:kern w:val="0"/>
          <w:szCs w:val="32"/>
          <w:lang w:val="en-US" w:eastAsia="zh-CN"/>
        </w:rPr>
        <w:t>不属于免予办理环境影响评价条件且未纳入</w:t>
      </w:r>
      <w:r>
        <w:rPr>
          <w:rFonts w:hint="eastAsia"/>
          <w:kern w:val="0"/>
          <w:szCs w:val="32"/>
        </w:rPr>
        <w:t>海南省生态环境厅《关于重点园区环境影响评价制度改革的指导意见》（琼环函〔2020〕279号）重点行业项目清单的项目；</w:t>
      </w:r>
    </w:p>
    <w:p>
      <w:pPr>
        <w:shd w:val="clear" w:color="auto" w:fill="FFFFFF"/>
        <w:spacing w:line="560" w:lineRule="exact"/>
        <w:ind w:firstLine="640"/>
        <w:rPr>
          <w:color w:val="FF0000"/>
          <w:kern w:val="0"/>
          <w:szCs w:val="32"/>
        </w:rPr>
      </w:pPr>
      <w:r>
        <w:rPr>
          <w:rFonts w:hint="eastAsia"/>
          <w:color w:val="000000" w:themeColor="text1"/>
          <w:kern w:val="0"/>
          <w:szCs w:val="32"/>
          <w14:textFill>
            <w14:solidFill>
              <w14:schemeClr w14:val="tx1"/>
            </w14:solidFill>
          </w14:textFill>
        </w:rPr>
        <w:t>（三）在窗口提交的该事项纸质资料与网上办事大厅提交的材料内容一致。</w:t>
      </w:r>
    </w:p>
    <w:p>
      <w:pPr>
        <w:pStyle w:val="22"/>
      </w:pPr>
      <w:r>
        <w:rPr>
          <w:rFonts w:hint="eastAsia"/>
          <w:lang w:eastAsia="zh-Hans"/>
        </w:rPr>
        <w:t>四</w:t>
      </w:r>
      <w:r>
        <w:rPr>
          <w:rFonts w:hint="eastAsia"/>
        </w:rPr>
        <w:t>、应当提交的申请材料</w:t>
      </w:r>
    </w:p>
    <w:tbl>
      <w:tblPr>
        <w:tblStyle w:val="11"/>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kern w:val="0"/>
                <w:sz w:val="24"/>
                <w:szCs w:val="24"/>
              </w:rPr>
            </w:pPr>
            <w:r>
              <w:rPr>
                <w:rFonts w:hint="eastAsia"/>
                <w:b/>
                <w:bCs/>
                <w:kern w:val="0"/>
                <w:sz w:val="24"/>
                <w:szCs w:val="24"/>
              </w:rPr>
              <w:t>全信任审批</w:t>
            </w:r>
            <w:r>
              <w:rPr>
                <w:rFonts w:hint="eastAsia"/>
                <w:kern w:val="0"/>
                <w:sz w:val="24"/>
                <w:szCs w:val="24"/>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rPr>
              <w:t>材料要求</w:t>
            </w:r>
          </w:p>
        </w:tc>
        <w:tc>
          <w:tcPr>
            <w:tcW w:w="1800"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建设项目环境影响评价文件的承诺备案申报表</w:t>
            </w:r>
          </w:p>
        </w:tc>
        <w:tc>
          <w:tcPr>
            <w:tcW w:w="1869" w:type="dxa"/>
            <w:vAlign w:val="center"/>
          </w:tcPr>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584"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建设项目环境影响报告表（含建设项目环境影响文件审查表和建设项目环评审批基础信息表）</w:t>
            </w:r>
          </w:p>
        </w:tc>
        <w:tc>
          <w:tcPr>
            <w:tcW w:w="1869" w:type="dxa"/>
            <w:vAlign w:val="center"/>
          </w:tcPr>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3584"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关于建设项目环境影响评价文件中删除不宜公开信息的说明（含建设项目环境影响评价文件公示稿）</w:t>
            </w:r>
          </w:p>
        </w:tc>
        <w:tc>
          <w:tcPr>
            <w:tcW w:w="1869" w:type="dxa"/>
            <w:vAlign w:val="center"/>
          </w:tcPr>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3584" w:type="dxa"/>
            <w:vAlign w:val="center"/>
          </w:tcPr>
          <w:p>
            <w:pPr>
              <w:jc w:val="center"/>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承诺书</w:t>
            </w:r>
          </w:p>
        </w:tc>
        <w:tc>
          <w:tcPr>
            <w:tcW w:w="1869" w:type="dxa"/>
            <w:vAlign w:val="center"/>
          </w:tcPr>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asciiTheme="minorEastAsia" w:hAnsiTheme="minorEastAsia" w:eastAsiaTheme="minorEastAsia" w:cstheme="minorEastAsia"/>
                <w:color w:val="000000" w:themeColor="text1"/>
                <w:kern w:val="0"/>
                <w:sz w:val="21"/>
                <w:szCs w:val="21"/>
                <w14:textFill>
                  <w14:solidFill>
                    <w14:schemeClr w14:val="tx1"/>
                  </w14:solidFill>
                </w14:textFill>
              </w:rPr>
            </w:pPr>
          </w:p>
        </w:tc>
      </w:tr>
    </w:tbl>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eastAsia="zh-Hans"/>
        </w:rPr>
        <w:t>五</w:t>
      </w:r>
      <w:r>
        <w:rPr>
          <w:rFonts w:hint="eastAsia" w:ascii="黑体" w:hAnsi="宋体" w:eastAsia="黑体"/>
          <w:kern w:val="0"/>
          <w:szCs w:val="32"/>
        </w:rPr>
        <w:t>、</w:t>
      </w:r>
      <w:r>
        <w:rPr>
          <w:rFonts w:hint="eastAsia" w:ascii="黑体" w:hAnsi="黑体" w:eastAsia="黑体" w:cs="黑体"/>
          <w:szCs w:val="32"/>
        </w:rPr>
        <w:t>办结时限</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法定时限：60日</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承诺期限：</w:t>
      </w:r>
      <w:bookmarkStart w:id="0" w:name="OLE_LINK15"/>
      <w:bookmarkStart w:id="1" w:name="OLE_LINK14"/>
      <w:bookmarkStart w:id="2" w:name="OLE_LINK13"/>
      <w:r>
        <w:rPr>
          <w:rFonts w:hint="eastAsia" w:ascii="仿宋_GB2312" w:hAnsi="仿宋_GB2312" w:cs="仿宋_GB2312"/>
          <w:szCs w:val="32"/>
        </w:rPr>
        <w:t>1个工作日</w:t>
      </w:r>
      <w:bookmarkEnd w:id="0"/>
      <w:bookmarkEnd w:id="1"/>
      <w:bookmarkEnd w:id="2"/>
      <w:r>
        <w:rPr>
          <w:rFonts w:hint="eastAsia" w:ascii="仿宋_GB2312" w:hAnsi="仿宋_GB2312" w:cs="仿宋_GB2312"/>
          <w:szCs w:val="32"/>
        </w:rPr>
        <w:t>（特殊程序时限不包含在承诺办结时限内）</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eastAsia="zh-Hans"/>
        </w:rPr>
        <w:t>六</w:t>
      </w:r>
      <w:r>
        <w:rPr>
          <w:rFonts w:hint="eastAsia" w:ascii="黑体" w:hAnsi="宋体" w:eastAsia="黑体"/>
          <w:kern w:val="0"/>
          <w:szCs w:val="32"/>
        </w:rPr>
        <w:t>、法律责任</w:t>
      </w:r>
    </w:p>
    <w:p>
      <w:pPr>
        <w:spacing w:line="560" w:lineRule="exact"/>
        <w:ind w:firstLine="640"/>
      </w:pPr>
      <w:r>
        <w:rPr>
          <w:rFonts w:hint="eastAsia"/>
        </w:rPr>
        <w:t>（一）申请人伪造申请材料或申请材料涉及内容弄虚作假，骗取相关批准文件，或现场核实申请人实际情况与承诺内容不符的，科技城管理局有权拒绝接受承诺，不予办理有关审批事项。</w:t>
      </w:r>
    </w:p>
    <w:p>
      <w:pPr>
        <w:spacing w:line="560" w:lineRule="exact"/>
        <w:ind w:firstLine="640"/>
      </w:pPr>
      <w:r>
        <w:rPr>
          <w:rFonts w:hint="eastAsia"/>
        </w:rPr>
        <w:t>（二）事中事后监管发现项目有下列情形之一的，科技城管理局在依法撤销行政审批决定的同时，推送给执法部门依法处理，并将相关失信行为纳入三亚市公共信用信息平台：</w:t>
      </w:r>
    </w:p>
    <w:p>
      <w:pPr>
        <w:spacing w:line="560" w:lineRule="exact"/>
        <w:ind w:firstLine="640"/>
      </w:pPr>
      <w:r>
        <w:rPr>
          <w:rFonts w:hint="eastAsia"/>
        </w:rPr>
        <w:t>1. 申请人实际情况与承诺内容不符时经科技城管理局要求限期整改，逾期拒不整改或整改后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（三）申请人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szCs w:val="32"/>
        </w:rPr>
        <w:t>科技城管理局</w:t>
      </w:r>
      <w:r>
        <w:rPr>
          <w:szCs w:val="32"/>
        </w:rPr>
        <w:t>在审查过程中或在事中事后监管中发现申请人作出不实承诺或不按承诺书履行承诺的，</w:t>
      </w:r>
      <w:r>
        <w:rPr>
          <w:rFonts w:hint="eastAsia"/>
          <w:szCs w:val="32"/>
        </w:rPr>
        <w:t>有权</w:t>
      </w:r>
      <w:r>
        <w:rPr>
          <w:szCs w:val="32"/>
        </w:rPr>
        <w:t>将失信行为录入申请人诚信管理</w:t>
      </w:r>
      <w:r>
        <w:rPr>
          <w:rFonts w:hint="eastAsia"/>
          <w:szCs w:val="32"/>
        </w:rPr>
        <w:t>档案，</w:t>
      </w:r>
      <w:r>
        <w:rPr>
          <w:rFonts w:hint="eastAsia"/>
          <w:szCs w:val="32"/>
          <w:lang w:eastAsia="zh-Hans"/>
        </w:rPr>
        <w:t>失信行为被录入诚信管理档案后，申请人可以在一年内向科技城管理局申请将当次失信行为从其诚信管理档案移除。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pPr>
      <w:r>
        <w:rPr>
          <w:rFonts w:hint="eastAsia"/>
        </w:rPr>
        <w:t>特此告知。</w:t>
      </w:r>
    </w:p>
    <w:p>
      <w:pPr>
        <w:pStyle w:val="5"/>
        <w:ind w:firstLine="640"/>
      </w:pPr>
    </w:p>
    <w:p>
      <w:pPr>
        <w:ind w:firstLine="640" w:firstLineChars="200"/>
        <w:jc w:val="right"/>
      </w:pPr>
      <w:r>
        <w:rPr>
          <w:rFonts w:hint="eastAsia"/>
        </w:rPr>
        <w:t>三亚崖州湾科技城管理局</w:t>
      </w:r>
    </w:p>
    <w:p>
      <w:pPr>
        <w:wordWrap w:val="0"/>
        <w:ind w:right="320" w:firstLine="640" w:firstLineChars="200"/>
        <w:jc w:val="right"/>
      </w:pPr>
      <w:r>
        <w:rPr>
          <w:rFonts w:hint="eastAsia"/>
        </w:rPr>
        <w:t xml:space="preserve">（盖章）    </w:t>
      </w:r>
    </w:p>
    <w:p>
      <w:pPr>
        <w:ind w:right="800" w:firstLine="640" w:firstLineChars="200"/>
        <w:jc w:val="right"/>
      </w:pPr>
      <w:r>
        <w:rPr>
          <w:rFonts w:hint="eastAsia"/>
        </w:rPr>
        <w:t>年  月  日</w:t>
      </w:r>
    </w:p>
    <w:p>
      <w:r>
        <w:rPr>
          <w:rFonts w:hint="eastAsia"/>
        </w:rPr>
        <w:br w:type="page"/>
      </w:r>
    </w:p>
    <w:p>
      <w:pPr>
        <w:pStyle w:val="4"/>
        <w:rPr>
          <w:rFonts w:hint="eastAsia" w:asciiTheme="majorEastAsia" w:hAnsiTheme="majorEastAsia" w:eastAsiaTheme="majorEastAsia" w:cstheme="majorEastAsia"/>
          <w:kern w:val="0"/>
        </w:rPr>
      </w:pPr>
      <w:r>
        <w:rPr>
          <w:rFonts w:hint="eastAsia" w:asciiTheme="majorEastAsia" w:hAnsiTheme="majorEastAsia" w:eastAsiaTheme="majorEastAsia" w:cstheme="majorEastAsia"/>
          <w:kern w:val="0"/>
        </w:rPr>
        <w:t>环境影响评价报告表许可</w:t>
      </w:r>
    </w:p>
    <w:p>
      <w:pPr>
        <w:pStyle w:val="4"/>
        <w:rPr>
          <w:rFonts w:asciiTheme="majorEastAsia" w:hAnsiTheme="majorEastAsia" w:eastAsiaTheme="majorEastAsia" w:cstheme="majorEastAsia"/>
          <w:kern w:val="0"/>
          <w:lang w:eastAsia="zh-Hans"/>
        </w:rPr>
      </w:pPr>
      <w:r>
        <w:rPr>
          <w:rFonts w:hint="eastAsia" w:asciiTheme="majorEastAsia" w:hAnsiTheme="majorEastAsia" w:eastAsiaTheme="majorEastAsia" w:cstheme="majorEastAsia"/>
          <w:kern w:val="0"/>
        </w:rPr>
        <w:t>（除核与辐射类项目外）</w:t>
      </w:r>
    </w:p>
    <w:p>
      <w:pPr>
        <w:pStyle w:val="4"/>
        <w:rPr>
          <w:kern w:val="0"/>
        </w:rPr>
      </w:pPr>
      <w:r>
        <w:rPr>
          <w:rFonts w:hint="eastAsia"/>
          <w:kern w:val="0"/>
        </w:rPr>
        <w:t>全信任审批</w:t>
      </w:r>
      <w:r>
        <w:rPr>
          <w:rFonts w:hint="eastAsia"/>
          <w:kern w:val="0"/>
          <w:lang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申请人于____年___月___日收到环境影响评价报告表许可（除核与辐射类项目外），现就申请环境影响评价报告表许可（除核与辐射类项目外）审批事项，作出下列承诺：</w:t>
      </w:r>
    </w:p>
    <w:p>
      <w:pPr>
        <w:ind w:firstLine="640"/>
        <w:rPr>
          <w:color w:val="FF0000"/>
          <w:kern w:val="0"/>
          <w:szCs w:val="32"/>
        </w:rPr>
      </w:pPr>
      <w:r>
        <w:rPr>
          <w:rFonts w:hint="eastAsia"/>
        </w:rPr>
        <w:t>一、本项目满足如下要求</w:t>
      </w:r>
    </w:p>
    <w:p>
      <w:pPr>
        <w:pStyle w:val="9"/>
        <w:widowControl/>
        <w:spacing w:line="324" w:lineRule="atLeast"/>
        <w:ind w:firstLine="480"/>
        <w:jc w:val="left"/>
        <w:rPr>
          <w:color w:val="000000" w:themeColor="text1"/>
          <w:kern w:val="0"/>
          <w:sz w:val="32"/>
          <w:szCs w:val="32"/>
          <w14:textFill>
            <w14:solidFill>
              <w14:schemeClr w14:val="tx1"/>
            </w14:solidFill>
          </w14:textFill>
        </w:rPr>
      </w:pPr>
      <w:r>
        <w:rPr>
          <w:rFonts w:hint="eastAsia" w:ascii="仿宋_GB2312" w:hAnsi="-webkit-standard" w:cs="仿宋_GB2312"/>
          <w:color w:val="FF0000"/>
          <w:szCs w:val="24"/>
        </w:rPr>
        <w:t xml:space="preserve"> </w:t>
      </w:r>
      <w:r>
        <w:rPr>
          <w:rFonts w:hint="eastAsia"/>
          <w:color w:val="000000" w:themeColor="text1"/>
          <w:kern w:val="0"/>
          <w:sz w:val="32"/>
          <w:szCs w:val="32"/>
          <w14:textFill>
            <w14:solidFill>
              <w14:schemeClr w14:val="tx1"/>
            </w14:solidFill>
          </w14:textFill>
        </w:rPr>
        <w:t>（一）申请项目严格按照建设项目环境影响评价文件中所列的建设内容、性质、规模、地点、采用的生产工艺、污染防治措施等进行建设和生产运营；</w:t>
      </w:r>
    </w:p>
    <w:p>
      <w:pPr>
        <w:pStyle w:val="9"/>
        <w:widowControl/>
        <w:spacing w:line="324" w:lineRule="atLeast"/>
        <w:ind w:firstLine="480"/>
        <w:jc w:val="left"/>
        <w:rPr>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（二）若建设项目的性质、规模、地点、采用的生产工艺或者防治污染、防止生态破坏的措施发生重大变动的，将依法重新办理相关环境影响评价手续；</w:t>
      </w:r>
    </w:p>
    <w:p>
      <w:pPr>
        <w:widowControl/>
        <w:spacing w:line="600" w:lineRule="exact"/>
        <w:ind w:firstLine="320" w:firstLineChars="100"/>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Cs w:val="32"/>
          <w14:textFill>
            <w14:solidFill>
              <w14:schemeClr w14:val="tx1"/>
            </w14:solidFill>
          </w14:textFill>
        </w:rPr>
        <w:t xml:space="preserve">  二、所填写的基本信息、提供给</w:t>
      </w:r>
      <w:r>
        <w:rPr>
          <w:rFonts w:hint="eastAsia" w:ascii="仿宋_GB2312" w:hAnsi="仿宋_GB2312" w:cs="仿宋_GB2312"/>
          <w:bCs/>
          <w:color w:val="000000" w:themeColor="text1"/>
          <w:szCs w:val="32"/>
          <w14:textFill>
            <w14:solidFill>
              <w14:schemeClr w14:val="tx1"/>
            </w14:solidFill>
          </w14:textFill>
        </w:rPr>
        <w:t>三亚崖州湾科技城管理局</w:t>
      </w:r>
      <w:r>
        <w:rPr>
          <w:rFonts w:hint="eastAsia" w:ascii="仿宋_GB2312" w:hAnsi="仿宋_GB2312" w:cs="仿宋_GB2312"/>
          <w:color w:val="000000" w:themeColor="text1"/>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600"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w:t>
      </w:r>
      <w:r>
        <w:rPr>
          <w:rFonts w:hint="eastAsia" w:ascii="仿宋_GB2312" w:hAnsi="仿宋_GB2312" w:cs="仿宋_GB2312"/>
          <w:b/>
          <w:color w:val="000000" w:themeColor="text1"/>
          <w:szCs w:val="32"/>
          <w14:textFill>
            <w14:solidFill>
              <w14:schemeClr w14:val="tx1"/>
            </w14:solidFill>
          </w14:textFill>
        </w:rPr>
        <w:t xml:space="preserve">  </w:t>
      </w:r>
      <w:r>
        <w:rPr>
          <w:rFonts w:hint="eastAsia" w:ascii="仿宋_GB2312" w:hAnsi="仿宋_GB2312" w:cs="仿宋_GB2312"/>
          <w:bCs/>
          <w:color w:val="000000" w:themeColor="text1"/>
          <w:szCs w:val="32"/>
          <w14:textFill>
            <w14:solidFill>
              <w14:schemeClr w14:val="tx1"/>
            </w14:solidFill>
          </w14:textFill>
        </w:rPr>
        <w:t xml:space="preserve"> 六、如违反上述承诺，同意将相关失信行为纳入三亚市公共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600"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八、所作承诺是申请人真实意思的表示。</w:t>
      </w:r>
    </w:p>
    <w:p>
      <w:pPr>
        <w:spacing w:line="540"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5"/>
        <w:ind w:firstLine="640"/>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webkit-standard">
    <w:altName w:val="AMGD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7"/>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ODgyNjBiMzg1NjZkY2UwZjM2MzNlYzEwMGRlMGMifQ=="/>
  </w:docVars>
  <w:rsids>
    <w:rsidRoot w:val="0039615A"/>
    <w:rsid w:val="0039615A"/>
    <w:rsid w:val="004E2DA5"/>
    <w:rsid w:val="00BF47F5"/>
    <w:rsid w:val="00CD5EB8"/>
    <w:rsid w:val="00CE5EFE"/>
    <w:rsid w:val="00FD16BE"/>
    <w:rsid w:val="01B00BBC"/>
    <w:rsid w:val="01B44AD3"/>
    <w:rsid w:val="02850240"/>
    <w:rsid w:val="03EB2602"/>
    <w:rsid w:val="07AC1D25"/>
    <w:rsid w:val="08467933"/>
    <w:rsid w:val="088D2740"/>
    <w:rsid w:val="0AA95CAE"/>
    <w:rsid w:val="0AD448F0"/>
    <w:rsid w:val="0D251F70"/>
    <w:rsid w:val="0F4F3E37"/>
    <w:rsid w:val="14E93748"/>
    <w:rsid w:val="17C849A7"/>
    <w:rsid w:val="18336964"/>
    <w:rsid w:val="188C4B58"/>
    <w:rsid w:val="1A9C433D"/>
    <w:rsid w:val="1B070D9C"/>
    <w:rsid w:val="1BC21455"/>
    <w:rsid w:val="1C47310C"/>
    <w:rsid w:val="1E9FA219"/>
    <w:rsid w:val="202C24B5"/>
    <w:rsid w:val="22C34F94"/>
    <w:rsid w:val="23F01166"/>
    <w:rsid w:val="241B6039"/>
    <w:rsid w:val="2420419A"/>
    <w:rsid w:val="24313389"/>
    <w:rsid w:val="25424F44"/>
    <w:rsid w:val="2CA628E7"/>
    <w:rsid w:val="311E7D75"/>
    <w:rsid w:val="31627D62"/>
    <w:rsid w:val="32764530"/>
    <w:rsid w:val="33245A69"/>
    <w:rsid w:val="333274E4"/>
    <w:rsid w:val="33954B0C"/>
    <w:rsid w:val="34B37D61"/>
    <w:rsid w:val="353037AA"/>
    <w:rsid w:val="35A14DFF"/>
    <w:rsid w:val="35DA43AB"/>
    <w:rsid w:val="3DCE09CF"/>
    <w:rsid w:val="3F756AF6"/>
    <w:rsid w:val="42051D09"/>
    <w:rsid w:val="42E42B82"/>
    <w:rsid w:val="430E166F"/>
    <w:rsid w:val="438E4FBD"/>
    <w:rsid w:val="46A1073F"/>
    <w:rsid w:val="4A6001F5"/>
    <w:rsid w:val="4B0E075F"/>
    <w:rsid w:val="4DC32D6B"/>
    <w:rsid w:val="4E0D1AB3"/>
    <w:rsid w:val="4E5523D0"/>
    <w:rsid w:val="4E8A6B87"/>
    <w:rsid w:val="4EB250E6"/>
    <w:rsid w:val="509A67A3"/>
    <w:rsid w:val="51E23E3F"/>
    <w:rsid w:val="53AC7C8B"/>
    <w:rsid w:val="58371AD5"/>
    <w:rsid w:val="5D5D2854"/>
    <w:rsid w:val="5D8A1907"/>
    <w:rsid w:val="5E154C41"/>
    <w:rsid w:val="62EB70C9"/>
    <w:rsid w:val="638045E3"/>
    <w:rsid w:val="64E12A96"/>
    <w:rsid w:val="66237A73"/>
    <w:rsid w:val="67215044"/>
    <w:rsid w:val="67CD7052"/>
    <w:rsid w:val="697E591D"/>
    <w:rsid w:val="6B855ADB"/>
    <w:rsid w:val="6B9C7CBF"/>
    <w:rsid w:val="6EC2219B"/>
    <w:rsid w:val="719045BF"/>
    <w:rsid w:val="722578A0"/>
    <w:rsid w:val="725B2956"/>
    <w:rsid w:val="73B1645F"/>
    <w:rsid w:val="73EB236A"/>
    <w:rsid w:val="740D69D8"/>
    <w:rsid w:val="744D4727"/>
    <w:rsid w:val="76900DC9"/>
    <w:rsid w:val="78A418A0"/>
    <w:rsid w:val="7A2365BE"/>
    <w:rsid w:val="7D1B265B"/>
    <w:rsid w:val="7FE64956"/>
    <w:rsid w:val="7FF62B28"/>
    <w:rsid w:val="F7E3A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2"/>
    <w:basedOn w:val="1"/>
    <w:next w:val="1"/>
    <w:link w:val="32"/>
    <w:semiHidden/>
    <w:unhideWhenUsed/>
    <w:qFormat/>
    <w:uiPriority w:val="0"/>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unhideWhenUsed/>
    <w:qFormat/>
    <w:uiPriority w:val="9"/>
    <w:pPr>
      <w:jc w:val="center"/>
      <w:outlineLvl w:val="2"/>
    </w:pPr>
    <w:rPr>
      <w:rFonts w:eastAsia="宋体"/>
      <w:b/>
      <w:bCs/>
      <w:sz w:val="44"/>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5">
    <w:name w:val="Normal Indent"/>
    <w:basedOn w:val="1"/>
    <w:qFormat/>
    <w:uiPriority w:val="0"/>
    <w:pPr>
      <w:ind w:firstLine="420" w:firstLineChars="200"/>
    </w:pPr>
  </w:style>
  <w:style w:type="paragraph" w:styleId="6">
    <w:name w:val="annotation text"/>
    <w:basedOn w:val="1"/>
    <w:link w:val="30"/>
    <w:qFormat/>
    <w:uiPriority w:val="0"/>
    <w:pPr>
      <w:jc w:val="left"/>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rPr>
      <w:sz w:val="24"/>
    </w:rPr>
  </w:style>
  <w:style w:type="paragraph" w:styleId="10">
    <w:name w:val="annotation subject"/>
    <w:basedOn w:val="6"/>
    <w:next w:val="6"/>
    <w:link w:val="31"/>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qFormat/>
    <w:uiPriority w:val="0"/>
    <w:rPr>
      <w:color w:val="800080"/>
      <w:u w:val="none"/>
    </w:rPr>
  </w:style>
  <w:style w:type="character" w:styleId="15">
    <w:name w:val="Emphasis"/>
    <w:basedOn w:val="13"/>
    <w:qFormat/>
    <w:uiPriority w:val="0"/>
  </w:style>
  <w:style w:type="character" w:styleId="16">
    <w:name w:val="HTML Definition"/>
    <w:basedOn w:val="13"/>
    <w:qFormat/>
    <w:uiPriority w:val="0"/>
  </w:style>
  <w:style w:type="character" w:styleId="17">
    <w:name w:val="HTML Variable"/>
    <w:basedOn w:val="13"/>
    <w:qFormat/>
    <w:uiPriority w:val="0"/>
  </w:style>
  <w:style w:type="character" w:styleId="18">
    <w:name w:val="Hyperlink"/>
    <w:basedOn w:val="13"/>
    <w:qFormat/>
    <w:uiPriority w:val="0"/>
    <w:rPr>
      <w:color w:val="0000FF"/>
      <w:u w:val="none"/>
    </w:rPr>
  </w:style>
  <w:style w:type="character" w:styleId="19">
    <w:name w:val="annotation reference"/>
    <w:basedOn w:val="13"/>
    <w:uiPriority w:val="0"/>
    <w:rPr>
      <w:sz w:val="21"/>
      <w:szCs w:val="21"/>
    </w:rPr>
  </w:style>
  <w:style w:type="character" w:styleId="20">
    <w:name w:val="HTML Cite"/>
    <w:basedOn w:val="13"/>
    <w:qFormat/>
    <w:uiPriority w:val="0"/>
  </w:style>
  <w:style w:type="paragraph" w:customStyle="1" w:styleId="21">
    <w:name w:val="样式1"/>
    <w:basedOn w:val="1"/>
    <w:qFormat/>
    <w:uiPriority w:val="0"/>
    <w:pPr>
      <w:shd w:val="clear" w:color="auto" w:fill="FFFFFF"/>
      <w:spacing w:line="620" w:lineRule="exact"/>
      <w:jc w:val="right"/>
    </w:pPr>
    <w:rPr>
      <w:color w:val="000000"/>
      <w:kern w:val="0"/>
      <w:szCs w:val="32"/>
    </w:rPr>
  </w:style>
  <w:style w:type="paragraph" w:customStyle="1" w:styleId="22">
    <w:name w:val="样式3"/>
    <w:basedOn w:val="1"/>
    <w:qFormat/>
    <w:uiPriority w:val="0"/>
    <w:pPr>
      <w:ind w:firstLine="640"/>
    </w:pPr>
    <w:rPr>
      <w:rFonts w:ascii="黑体" w:hAnsi="黑体" w:eastAsia="黑体"/>
    </w:rPr>
  </w:style>
  <w:style w:type="character" w:customStyle="1" w:styleId="23">
    <w:name w:val="not([class*=suffix])"/>
    <w:basedOn w:val="13"/>
    <w:qFormat/>
    <w:uiPriority w:val="0"/>
  </w:style>
  <w:style w:type="character" w:customStyle="1" w:styleId="24">
    <w:name w:val="active[data-v-a72ca9bc]"/>
    <w:basedOn w:val="13"/>
    <w:qFormat/>
    <w:uiPriority w:val="0"/>
    <w:rPr>
      <w:color w:val="2C8BFF"/>
      <w:shd w:val="clear" w:color="auto" w:fill="EFF6FE"/>
    </w:rPr>
  </w:style>
  <w:style w:type="character" w:customStyle="1" w:styleId="25">
    <w:name w:val="active[data-v-7e95f709]"/>
    <w:basedOn w:val="13"/>
    <w:qFormat/>
    <w:uiPriority w:val="0"/>
    <w:rPr>
      <w:color w:val="FFFFFF"/>
      <w:shd w:val="clear" w:color="auto" w:fill="3464CD"/>
    </w:rPr>
  </w:style>
  <w:style w:type="character" w:customStyle="1" w:styleId="26">
    <w:name w:val="active[data-v-4bcd2c23]"/>
    <w:basedOn w:val="13"/>
    <w:qFormat/>
    <w:uiPriority w:val="0"/>
    <w:rPr>
      <w:color w:val="FFFFFF"/>
      <w:shd w:val="clear" w:color="auto" w:fill="3464CD"/>
    </w:rPr>
  </w:style>
  <w:style w:type="character" w:customStyle="1" w:styleId="27">
    <w:name w:val="active[data-v-db07a5b4]"/>
    <w:basedOn w:val="13"/>
    <w:qFormat/>
    <w:uiPriority w:val="0"/>
    <w:rPr>
      <w:shd w:val="clear" w:color="auto" w:fill="EEEEEE"/>
    </w:rPr>
  </w:style>
  <w:style w:type="character" w:customStyle="1" w:styleId="28">
    <w:name w:val="not([class*=suffix])1"/>
    <w:basedOn w:val="13"/>
    <w:qFormat/>
    <w:uiPriority w:val="0"/>
  </w:style>
  <w:style w:type="paragraph" w:customStyle="1" w:styleId="29">
    <w:name w:val="Revision"/>
    <w:hidden/>
    <w:semiHidden/>
    <w:uiPriority w:val="99"/>
    <w:rPr>
      <w:rFonts w:ascii="Times New Roman" w:hAnsi="Times New Roman" w:eastAsia="仿宋_GB2312" w:cstheme="minorBidi"/>
      <w:kern w:val="2"/>
      <w:sz w:val="32"/>
      <w:szCs w:val="22"/>
      <w:lang w:val="en-US" w:eastAsia="zh-CN" w:bidi="ar-SA"/>
    </w:rPr>
  </w:style>
  <w:style w:type="character" w:customStyle="1" w:styleId="30">
    <w:name w:val="批注文字 字符"/>
    <w:basedOn w:val="13"/>
    <w:link w:val="6"/>
    <w:uiPriority w:val="0"/>
    <w:rPr>
      <w:rFonts w:eastAsia="仿宋_GB2312" w:cstheme="minorBidi"/>
      <w:kern w:val="2"/>
      <w:sz w:val="32"/>
      <w:szCs w:val="22"/>
    </w:rPr>
  </w:style>
  <w:style w:type="character" w:customStyle="1" w:styleId="31">
    <w:name w:val="批注主题 字符"/>
    <w:basedOn w:val="30"/>
    <w:link w:val="10"/>
    <w:uiPriority w:val="0"/>
    <w:rPr>
      <w:rFonts w:eastAsia="仿宋_GB2312" w:cstheme="minorBidi"/>
      <w:b/>
      <w:bCs/>
      <w:kern w:val="2"/>
      <w:sz w:val="32"/>
      <w:szCs w:val="22"/>
    </w:rPr>
  </w:style>
  <w:style w:type="character" w:customStyle="1" w:styleId="32">
    <w:name w:val="标题 2 字符"/>
    <w:basedOn w:val="13"/>
    <w:link w:val="3"/>
    <w:semiHidden/>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336</Words>
  <Characters>1917</Characters>
  <Lines>15</Lines>
  <Paragraphs>4</Paragraphs>
  <TotalTime>2</TotalTime>
  <ScaleCrop>false</ScaleCrop>
  <LinksUpToDate>false</LinksUpToDate>
  <CharactersWithSpaces>2249</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Administrator</dc:creator>
  <cp:lastModifiedBy>——</cp:lastModifiedBy>
  <dcterms:modified xsi:type="dcterms:W3CDTF">2023-04-28T06:58:04Z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