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仿宋_GB2312" w:hAnsi="方正小标宋简体" w:eastAsia="仿宋_GB2312" w:cs="方正小标宋简体"/>
          <w:sz w:val="32"/>
          <w:szCs w:val="32"/>
        </w:rPr>
      </w:pPr>
      <w:r>
        <w:rPr>
          <w:rFonts w:hint="eastAsia" w:ascii="黑体" w:hAnsi="黑体" w:eastAsia="黑体" w:cs="黑体"/>
          <w:sz w:val="32"/>
          <w:szCs w:val="32"/>
        </w:rPr>
        <w:t>附件</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三亚崖州湾科技城建设工程项目</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年第二季度“红黄蓝”等级分布情况</w:t>
      </w:r>
    </w:p>
    <w:p>
      <w:pPr>
        <w:spacing w:line="578" w:lineRule="exact"/>
        <w:ind w:firstLine="640" w:firstLineChars="200"/>
        <w:rPr>
          <w:rFonts w:ascii="Times New Roman" w:hAnsi="Times New Roman" w:eastAsia="仿宋_GB2312" w:cs="Times New Roman"/>
          <w:sz w:val="32"/>
          <w:szCs w:val="32"/>
        </w:rPr>
      </w:pP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项目总体情况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据统计，</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年第二季度科技城</w:t>
      </w:r>
      <w:r>
        <w:rPr>
          <w:rFonts w:ascii="Times New Roman" w:hAnsi="Times New Roman" w:eastAsia="仿宋_GB2312" w:cs="Times New Roman"/>
          <w:sz w:val="32"/>
          <w:szCs w:val="32"/>
        </w:rPr>
        <w:t>园区已纳监工程项目满足评审条件的在建工程共计</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5个（房建项目59个，市政项目26个）。其中，达到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评定标准的项目共计5个，占评定项目总量的6%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评定标准的项目共计44个，占评定项目总量的52%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评定标准的项目共计36个，占评定项目总量的42%。</w:t>
      </w:r>
    </w:p>
    <w:p>
      <w:pPr>
        <w:pStyle w:val="8"/>
        <w:keepNext w:val="0"/>
        <w:keepLines w:val="0"/>
        <w:pageBreakBefore w:val="0"/>
        <w:widowControl w:val="0"/>
        <w:numPr>
          <w:numId w:val="0"/>
        </w:numPr>
        <w:kinsoku/>
        <w:wordWrap/>
        <w:overflowPunct/>
        <w:topLinePunct w:val="0"/>
        <w:autoSpaceDE/>
        <w:autoSpaceDN/>
        <w:bidi w:val="0"/>
        <w:adjustRightInd/>
        <w:snapToGrid/>
        <w:spacing w:line="578" w:lineRule="exact"/>
        <w:ind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项目红、黄、蓝评定情况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仿宋_GB2312" w:eastAsia="仿宋_GB2312"/>
          <w:sz w:val="32"/>
          <w:szCs w:val="32"/>
        </w:rPr>
      </w:pPr>
      <w:r>
        <w:rPr>
          <w:rFonts w:ascii="仿宋_GB2312" w:eastAsia="仿宋_GB2312"/>
          <w:sz w:val="32"/>
          <w:szCs w:val="32"/>
        </w:rPr>
        <w:t>按照相关要求，</w:t>
      </w:r>
      <w:r>
        <w:rPr>
          <w:rFonts w:ascii="Times New Roman" w:hAnsi="Times New Roman" w:eastAsia="仿宋_GB2312" w:cs="Times New Roman"/>
          <w:sz w:val="32"/>
          <w:szCs w:val="32"/>
        </w:rPr>
        <w:t>运用风险分级评定表，我局对</w:t>
      </w:r>
      <w:r>
        <w:rPr>
          <w:rFonts w:hint="eastAsia" w:ascii="Times New Roman" w:hAnsi="Times New Roman" w:eastAsia="仿宋_GB2312" w:cs="Times New Roman"/>
          <w:sz w:val="32"/>
          <w:szCs w:val="32"/>
        </w:rPr>
        <w:t>科技城园区202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年第二</w:t>
      </w:r>
      <w:r>
        <w:rPr>
          <w:rFonts w:ascii="Times New Roman" w:hAnsi="Times New Roman" w:eastAsia="仿宋_GB2312" w:cs="Times New Roman"/>
          <w:sz w:val="32"/>
          <w:szCs w:val="32"/>
        </w:rPr>
        <w:t>季度的</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5个项目进行统计分析，统计情况如表1、表2</w:t>
      </w:r>
      <w:r>
        <w:rPr>
          <w:rFonts w:hint="eastAsia" w:ascii="Times New Roman" w:hAnsi="Times New Roman" w:eastAsia="仿宋_GB2312" w:cs="Times New Roman"/>
          <w:sz w:val="32"/>
          <w:szCs w:val="32"/>
        </w:rPr>
        <w:t>、表3</w:t>
      </w:r>
      <w:r>
        <w:rPr>
          <w:rFonts w:ascii="Times New Roman" w:hAnsi="Times New Roman" w:eastAsia="仿宋_GB2312" w:cs="Times New Roman"/>
          <w:sz w:val="32"/>
          <w:szCs w:val="32"/>
        </w:rPr>
        <w:t xml:space="preserve"> 所示。</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仿宋_GB2312" w:eastAsia="仿宋_GB2312"/>
          <w:sz w:val="32"/>
          <w:szCs w:val="32"/>
        </w:rPr>
      </w:pPr>
      <w:r>
        <w:rPr>
          <w:rFonts w:hint="eastAsia" w:ascii="仿宋_GB2312" w:eastAsia="仿宋_GB2312"/>
          <w:sz w:val="32"/>
          <w:szCs w:val="32"/>
        </w:rPr>
        <w:t>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w:t>
      </w:r>
      <w:r>
        <w:rPr>
          <w:rFonts w:hint="eastAsia" w:ascii="仿宋_GB2312" w:eastAsia="仿宋_GB2312"/>
          <w:sz w:val="32"/>
          <w:szCs w:val="32"/>
        </w:rPr>
        <w:t>亚崖州湾科技城建设工程项目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红</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autofit"/>
        <w:tblCellMar>
          <w:top w:w="0" w:type="dxa"/>
          <w:left w:w="108" w:type="dxa"/>
          <w:bottom w:w="0" w:type="dxa"/>
          <w:right w:w="108" w:type="dxa"/>
        </w:tblCellMar>
      </w:tblPr>
      <w:tblGrid>
        <w:gridCol w:w="1230"/>
        <w:gridCol w:w="6703"/>
        <w:gridCol w:w="184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保利·汀澜和著项目</w:t>
            </w:r>
          </w:p>
        </w:tc>
        <w:tc>
          <w:tcPr>
            <w:tcW w:w="1847" w:type="dxa"/>
            <w:tcBorders>
              <w:top w:val="single" w:color="auto" w:sz="4" w:space="0"/>
              <w:left w:val="nil"/>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三亚崖州湾深海科技城智慧综合能源服务项目（二期）</w:t>
            </w:r>
          </w:p>
        </w:tc>
        <w:tc>
          <w:tcPr>
            <w:tcW w:w="1847" w:type="dxa"/>
            <w:tcBorders>
              <w:top w:val="nil"/>
              <w:left w:val="nil"/>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eastAsiaTheme="minorEastAsia"/>
                <w:color w:val="000000"/>
                <w:sz w:val="22"/>
                <w:lang w:eastAsia="zh-CN"/>
              </w:rPr>
            </w:pPr>
            <w:r>
              <w:rPr>
                <w:rFonts w:hint="default" w:ascii="Times New Roman" w:hAnsi="Times New Roman" w:cs="Times New Roman"/>
                <w:color w:val="000000"/>
                <w:sz w:val="22"/>
              </w:rPr>
              <w:t>中国热带农业科学院南繁育种科技服务中心建设项目（EPC</w:t>
            </w:r>
            <w:r>
              <w:rPr>
                <w:rFonts w:hint="eastAsia" w:ascii="Times New Roman" w:hAnsi="Times New Roman" w:cs="Times New Roman"/>
                <w:color w:val="000000"/>
                <w:sz w:val="22"/>
                <w:lang w:eastAsia="zh-CN"/>
              </w:rPr>
              <w:t>）</w:t>
            </w:r>
          </w:p>
        </w:tc>
        <w:tc>
          <w:tcPr>
            <w:tcW w:w="1847" w:type="dxa"/>
            <w:tcBorders>
              <w:top w:val="nil"/>
              <w:left w:val="nil"/>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聚亿椰海锦程</w:t>
            </w:r>
          </w:p>
        </w:tc>
        <w:tc>
          <w:tcPr>
            <w:tcW w:w="1847" w:type="dxa"/>
            <w:tcBorders>
              <w:top w:val="nil"/>
              <w:left w:val="nil"/>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22"/>
              </w:rPr>
            </w:pPr>
            <w:r>
              <w:rPr>
                <w:rFonts w:hint="eastAsia"/>
                <w:color w:val="000000"/>
                <w:sz w:val="22"/>
              </w:rPr>
              <w:t>红级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三亚市公安局崖州分局值班备勤楼及配套设施项目工程</w:t>
            </w:r>
          </w:p>
        </w:tc>
        <w:tc>
          <w:tcPr>
            <w:tcW w:w="1847" w:type="dxa"/>
            <w:tcBorders>
              <w:top w:val="nil"/>
              <w:left w:val="nil"/>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color w:val="000000"/>
                <w:sz w:val="22"/>
              </w:rPr>
            </w:pPr>
            <w:r>
              <w:rPr>
                <w:rFonts w:hint="eastAsia"/>
                <w:color w:val="000000"/>
                <w:sz w:val="22"/>
              </w:rPr>
              <w:t>红级</w:t>
            </w:r>
          </w:p>
        </w:tc>
      </w:tr>
    </w:tbl>
    <w:p>
      <w:pPr>
        <w:widowControl/>
        <w:jc w:val="center"/>
        <w:rPr>
          <w:rFonts w:ascii="仿宋_GB2312" w:eastAsia="仿宋_GB2312"/>
          <w:sz w:val="32"/>
          <w:szCs w:val="32"/>
        </w:rPr>
      </w:pPr>
      <w:r>
        <w:rPr>
          <w:rFonts w:hint="eastAsia" w:ascii="仿宋_GB2312" w:eastAsia="仿宋_GB2312"/>
          <w:sz w:val="32"/>
          <w:szCs w:val="32"/>
        </w:rPr>
        <w:t>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w:t>
      </w:r>
      <w:r>
        <w:rPr>
          <w:rFonts w:hint="eastAsia" w:ascii="仿宋_GB2312" w:eastAsia="仿宋_GB2312"/>
          <w:sz w:val="32"/>
          <w:szCs w:val="32"/>
        </w:rPr>
        <w:t>亚崖州湾科技城建设工程项目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autofit"/>
        <w:tblCellMar>
          <w:top w:w="0" w:type="dxa"/>
          <w:left w:w="108" w:type="dxa"/>
          <w:bottom w:w="0" w:type="dxa"/>
          <w:right w:w="108" w:type="dxa"/>
        </w:tblCellMar>
      </w:tblPr>
      <w:tblGrid>
        <w:gridCol w:w="1230"/>
        <w:gridCol w:w="6703"/>
        <w:gridCol w:w="184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670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84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67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三亚崖州海科海洋研发中心项目</w:t>
            </w:r>
          </w:p>
        </w:tc>
        <w:tc>
          <w:tcPr>
            <w:tcW w:w="1847" w:type="dxa"/>
            <w:tcBorders>
              <w:top w:val="single" w:color="auto" w:sz="4" w:space="0"/>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崖州科尚城市广场项目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崖州湾科技城公交枢纽站（场站）项目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中国南繁中心项目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三亚市崖州中心渔港保障性住房项目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招商臻园项目总承包工程二标段</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三亚崖州湾科技城智造创新园立体停车楼项目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79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国家级猪种质资源与模型保存与繁育基地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bookmarkStart w:id="0" w:name="_GoBack"/>
            <w:bookmarkEnd w:id="0"/>
            <w:r>
              <w:rPr>
                <w:rFonts w:hint="eastAsia" w:ascii="Times New Roman" w:hAnsi="Times New Roman" w:cs="Times New Roman"/>
                <w:color w:val="000000"/>
                <w:sz w:val="22"/>
                <w:lang w:val="en-US" w:eastAsia="zh-CN"/>
              </w:rPr>
              <w:t>（</w:t>
            </w:r>
            <w:r>
              <w:rPr>
                <w:rFonts w:hint="default" w:ascii="Times New Roman" w:hAnsi="Times New Roman" w:cs="Times New Roman"/>
                <w:color w:val="000000"/>
                <w:sz w:val="22"/>
              </w:rPr>
              <w:t>猪精准育种与模型研发中心</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三亚船舶溢油应急设备库项目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国家非人灵长类种质资源与模型研发中心项目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国家热带农业科技成果转移转化中心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科大讯飞海南自由贸易港科研中心一期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隆平生物生物育种双创中心</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三亚南繁科技城南繁博物馆项目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三亚崖州湾科技城综合医院</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eastAsiaTheme="minorEastAsia"/>
                <w:color w:val="000000"/>
                <w:spacing w:val="-11"/>
                <w:sz w:val="22"/>
              </w:rPr>
              <w:t>三亚崖州湾南繁科技城起步区YK01-02-01-01、02、03、04项目（二期）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新浪创意港项目（一期）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用友产业园（三亚）二期</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海南自贸港崖州湾科技城黄金珠宝国际创新设计工场项目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670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明阳海南海洋能源科研与国际业务总部项目</w:t>
            </w:r>
          </w:p>
        </w:tc>
        <w:tc>
          <w:tcPr>
            <w:tcW w:w="1847" w:type="dxa"/>
            <w:tcBorders>
              <w:top w:val="nil"/>
              <w:left w:val="nil"/>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南京农业大学大豆园艺作物种质创新中心项目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三亚国康医院</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项目一期施工总承包</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国家耐盐碱水稻技术创新合作平台项目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三亚嘉仕温德姆海景酒店项目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三亚市崖州区图书馆、文化馆、体育馆工程项目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三亚崖州湾科技城安置区</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二期</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项目（一标）</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三亚崖州湾科技城离岸科研综合楼项目</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三亚崖州湾南繁科技城起步区YK01-02-01-01、02、03、04</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三亚崖州湾智造创新园项目一期</w:t>
            </w:r>
          </w:p>
        </w:tc>
        <w:tc>
          <w:tcPr>
            <w:tcW w:w="1847" w:type="dxa"/>
            <w:tcBorders>
              <w:top w:val="single" w:color="auto" w:sz="4" w:space="0"/>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浙江大学（海南）先进技术与产业创新平台建设项目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三亚崖州湾科技城3号路市政化改造工程设计、施工总承包（EPC）</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三亚崖州湾科技城南繁科技城保障性性房声环境综合治理工程项目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南滨路道路工程</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三亚市崖州中心渔港片区路网建设一期工程项目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深海科技城市政设施标准化一期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明阳海南海洋能源科研与国际业务总部项目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37</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南京农业大学大豆园艺作物种质创新中心项目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38</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三亚崖州湾深海科技城安置区（二期）项目（二标段）</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39</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三亚崖州湾科技城实验动物公共服务平台项目</w:t>
            </w:r>
            <w:r>
              <w:rPr>
                <w:rFonts w:hint="eastAsia" w:ascii="Times New Roman" w:hAnsi="Times New Roman" w:cs="Times New Roman"/>
                <w:color w:val="000000"/>
                <w:sz w:val="22"/>
                <w:lang w:eastAsia="zh-CN"/>
              </w:rPr>
              <w:t>（</w:t>
            </w:r>
            <w:r>
              <w:rPr>
                <w:rFonts w:hint="default" w:ascii="Times New Roman" w:hAnsi="Times New Roman" w:cs="Times New Roman"/>
                <w:color w:val="000000"/>
                <w:sz w:val="22"/>
              </w:rPr>
              <w:t>C1栋厂房</w:t>
            </w:r>
            <w:r>
              <w:rPr>
                <w:rFonts w:hint="eastAsia" w:ascii="Times New Roman" w:hAnsi="Times New Roman" w:cs="Times New Roman"/>
                <w:color w:val="000000"/>
                <w:sz w:val="22"/>
                <w:lang w:eastAsia="zh-CN"/>
              </w:rPr>
              <w:t>）</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40</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三亚崖州湾智造创新园项目一期</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41</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崖州果蔬综合批发市场（一期）项目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42</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浙江大学（海南）先进技术与产业创新平台建设项目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43</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三亚崖州湾科技城南海资源保护开发与利用产业创新平台</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r>
        <w:tblPrEx>
          <w:tblCellMar>
            <w:top w:w="0" w:type="dxa"/>
            <w:left w:w="108" w:type="dxa"/>
            <w:bottom w:w="0" w:type="dxa"/>
            <w:right w:w="108" w:type="dxa"/>
          </w:tblCellMar>
        </w:tblPrEx>
        <w:trPr>
          <w:trHeight w:val="567" w:hRule="exact"/>
        </w:trPr>
        <w:tc>
          <w:tcPr>
            <w:tcW w:w="123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44</w:t>
            </w:r>
          </w:p>
        </w:tc>
        <w:tc>
          <w:tcPr>
            <w:tcW w:w="6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数学与物理国际研究中心（一期）项目</w:t>
            </w:r>
          </w:p>
        </w:tc>
        <w:tc>
          <w:tcPr>
            <w:tcW w:w="1847" w:type="dxa"/>
            <w:tcBorders>
              <w:top w:val="nil"/>
              <w:left w:val="single" w:color="auto" w:sz="4" w:space="0"/>
              <w:bottom w:val="single" w:color="auto" w:sz="4" w:space="0"/>
              <w:right w:val="single" w:color="auto" w:sz="4" w:space="0"/>
            </w:tcBorders>
            <w:shd w:val="clear" w:color="000000"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color w:val="000000"/>
                <w:sz w:val="22"/>
              </w:rPr>
            </w:pPr>
            <w:r>
              <w:rPr>
                <w:rFonts w:hint="eastAsia"/>
                <w:color w:val="000000"/>
                <w:sz w:val="22"/>
              </w:rPr>
              <w:t>黄级</w:t>
            </w:r>
          </w:p>
        </w:tc>
      </w:tr>
    </w:tbl>
    <w:p>
      <w:pPr>
        <w:spacing w:line="578" w:lineRule="exact"/>
        <w:jc w:val="center"/>
        <w:rPr>
          <w:rFonts w:ascii="仿宋_GB2312" w:eastAsia="仿宋_GB2312"/>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三亚</w:t>
      </w:r>
      <w:r>
        <w:rPr>
          <w:rFonts w:hint="eastAsia" w:ascii="仿宋_GB2312" w:eastAsia="仿宋_GB2312"/>
          <w:sz w:val="32"/>
          <w:szCs w:val="32"/>
        </w:rPr>
        <w:t>崖州湾科技城建设工程项目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33" w:tblpY="60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072"/>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tcBorders>
              <w:tl2br w:val="nil"/>
              <w:tr2bl w:val="nil"/>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序号</w:t>
            </w:r>
          </w:p>
        </w:tc>
        <w:tc>
          <w:tcPr>
            <w:tcW w:w="707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项目名称</w:t>
            </w:r>
          </w:p>
        </w:tc>
        <w:tc>
          <w:tcPr>
            <w:tcW w:w="1988" w:type="dxa"/>
            <w:tcBorders>
              <w:tl2br w:val="nil"/>
              <w:tr2bl w:val="nil"/>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1</w:t>
            </w:r>
          </w:p>
        </w:tc>
        <w:tc>
          <w:tcPr>
            <w:tcW w:w="707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三亚崖州湾科技城南滨安置区项目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三亚崖州湾科技城南山安置区项目（二期）</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海垦佳元·海阔天城商业项目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4</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海南全健康（兽医公共卫生）研究中心建设项目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5</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南山港科考服务体系一期项目设计、施工总承包（EPC）项目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6</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全球动植物种质资源鉴定评价及确权交换中心项目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7</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三亚国康家园自持性租赁住房（一期）项目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8</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三亚空管站空管设施设备建设工程项目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9</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三亚崖州湾科技城蓝碳技术实验服务平台项目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10</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珊瑚礁保护与利用资源创新中心室内装修工程</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11</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三亚崖州湾科技城9号路道路工程项目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12</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三亚崖州湾科技城12号路B段道路工程项目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13</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三亚崖州湾科技城14号路道路工程项目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14</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三亚崖州湾南繁科技城综保障区南山花园片区路网项目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15</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三亚崖州湾南繁科技城北部片区道路工程项目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16</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南繁科技城综合服务保障区兴滨片区路网项目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17</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三亚崖州湾科技城创元路道路工程</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18</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三亚崖州湾科技城疏港大道工程项目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19</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南繁科技城综合服务保障区南滨片区路网项目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20</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三亚崖州湾科技城与保港组团跨宁远河连通通道工程</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21</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深海科技城市政设施标准化二期</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22</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三亚崖州湾科教城综合路网（二期）项目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23</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三亚崖州湾科技城生物谷外围道路一期</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24</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三亚市崖州中心渔港片区路网建设二期工程项目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25</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南繁科技城街道生态修复工程设计、施工总承包（EPC）</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26</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三亚市崖州中心渔港片区路网建设三期工程</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27</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三亚崖州湾科技城海小线（港口路-大小洞天）基础配套项目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28</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三亚崖州湾科教城综合路网（一期）项目（一标段）道路建设工程项目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29</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三亚崖州湾科技城综合路网一期项目（二标段）项目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30</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三亚崖州湾科技城G98沿线横向交叉道路建设工程项目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31</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南繁科技城综合服务保障区南繁大道片区路网项目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32</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三亚崖州湾深海科技城安置区（三期）项目二标段</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33</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三亚崖州湾科技城国家热带农业科学中心综合实验室项目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34</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三亚崖州湾科技城南海海岛空间开发技术创新与成果转化平台建设项目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35</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三亚崖州湾科技城双创示范基地项目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0"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rPr>
              <w:t>36</w:t>
            </w:r>
          </w:p>
        </w:tc>
        <w:tc>
          <w:tcPr>
            <w:tcW w:w="707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华能南山电厂2*46万千瓦级燃气-蒸汽联合循环发电机组扩建项目</w:t>
            </w:r>
          </w:p>
        </w:tc>
        <w:tc>
          <w:tcPr>
            <w:tcW w:w="1988" w:type="dxa"/>
            <w:tcBorders>
              <w:tl2br w:val="nil"/>
              <w:tr2bl w:val="nil"/>
            </w:tcBorders>
            <w:shd w:val="clear" w:color="000000" w:fill="00B0F0"/>
            <w:noWrap/>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rPr>
            </w:pPr>
            <w:r>
              <w:rPr>
                <w:rFonts w:hint="default" w:ascii="Times New Roman" w:hAnsi="Times New Roman" w:cs="Times New Roman"/>
                <w:color w:val="000000"/>
                <w:sz w:val="22"/>
              </w:rPr>
              <w:t>蓝级</w:t>
            </w:r>
          </w:p>
        </w:tc>
      </w:tr>
    </w:tbl>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监管措施</w:t>
      </w:r>
    </w:p>
    <w:p>
      <w:pPr>
        <w:pStyle w:val="8"/>
        <w:keepNext w:val="0"/>
        <w:keepLines w:val="0"/>
        <w:pageBreakBefore w:val="0"/>
        <w:widowControl w:val="0"/>
        <w:kinsoku/>
        <w:wordWrap/>
        <w:overflowPunct/>
        <w:topLinePunct w:val="0"/>
        <w:autoSpaceDE/>
        <w:autoSpaceDN/>
        <w:bidi w:val="0"/>
        <w:adjustRightInd/>
        <w:snapToGrid/>
        <w:spacing w:line="578" w:lineRule="exact"/>
        <w:ind w:left="0" w:firstLine="640"/>
        <w:textAlignment w:val="auto"/>
        <w:rPr>
          <w:rFonts w:ascii="仿宋_GB2312" w:eastAsia="仿宋_GB2312"/>
          <w:sz w:val="32"/>
          <w:szCs w:val="32"/>
        </w:rPr>
      </w:pPr>
      <w:r>
        <w:rPr>
          <w:rFonts w:hint="default" w:ascii="Times New Roman" w:hAnsi="Times New Roman" w:eastAsia="仿宋_GB2312" w:cs="Times New Roman"/>
          <w:sz w:val="32"/>
          <w:szCs w:val="32"/>
        </w:rPr>
        <w:t>根据《建筑工程安全风险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红黄蓝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分级管理方案》（三科技城〔2023〕43号）文件要求，项目监督员将采取不定期的、事先不通知的突击性抽查方式进行监督巡回抽查。监督机构实行差别化临督管理，对于评审为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的工程项目，日常监管以智慧工地线上管控预警闭环为主，现场巡查按照季度评估的形式开展；对于评审为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的工程项目，巡查不少于每两月一次。监督管理人员随机抽查整改情况并对质量安全问题整改回复真实性进行复核；对于评审为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的工程项目，巡查不少于每月一次。监督管理人员全部复查整改情况，对质量安全问题整改回复真实性进行复核，按风险增加巡查次数。</w:t>
      </w:r>
    </w:p>
    <w:p>
      <w:pPr>
        <w:keepNext w:val="0"/>
        <w:keepLines w:val="0"/>
        <w:pageBreakBefore w:val="0"/>
        <w:widowControl w:val="0"/>
        <w:numPr>
          <w:numId w:val="0"/>
        </w:numPr>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分级考核管理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我局将对“红（黄）级”警示的项目，强化监管考核问责措施，促进整改落实到位。</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“红（黄）级”警示情况纳入年度评估考核内容被评为“红级”的项目，进行评估负面清单扣分。</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针对连续两次及以上进入“红级”，或被“红级”警示一次及以上且限期内未整改到位的项目，要求更换项目经理或总监。同时，约谈总包、监理上级单位负责人，并由总包单位上级公司组建督导组进驻现场指导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对于检查的问题项目无故不整改，</w:t>
      </w:r>
      <w:r>
        <w:rPr>
          <w:rFonts w:ascii="Times New Roman" w:hAnsi="Times New Roman" w:eastAsia="仿宋_GB2312" w:cs="Times New Roman"/>
          <w:sz w:val="32"/>
          <w:szCs w:val="32"/>
        </w:rPr>
        <w:t>或超期3天</w:t>
      </w:r>
      <w:r>
        <w:rPr>
          <w:rFonts w:hint="eastAsia" w:ascii="仿宋_GB2312" w:eastAsia="仿宋_GB2312"/>
          <w:sz w:val="32"/>
          <w:szCs w:val="32"/>
        </w:rPr>
        <w:t>未回复的项目，进行提级管控，即原定蓝级项目升级为黄级，原定黄级项目升级为红级进行处理。进行园区内通报并同步移交执法。</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640" w:firstLineChars="200"/>
        <w:jc w:val="left"/>
        <w:textAlignment w:val="auto"/>
        <w:rPr>
          <w:rFonts w:ascii="仿宋_GB2312" w:eastAsia="仿宋_GB2312"/>
          <w:sz w:val="32"/>
          <w:szCs w:val="32"/>
        </w:rPr>
      </w:pPr>
      <w:r>
        <w:rPr>
          <w:rFonts w:hint="eastAsia" w:ascii="仿宋_GB2312" w:eastAsia="仿宋_GB2312"/>
          <w:sz w:val="32"/>
          <w:szCs w:val="32"/>
        </w:rPr>
        <w:t>对于同一问题屡次触犯，或存在其他违法违规行为，被我局认定为情节恶劣的，按照相关文件采取扣除诚信分、列入失信名单等相关措施。</w:t>
      </w: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EC44"/>
    <w:multiLevelType w:val="singleLevel"/>
    <w:tmpl w:val="EFF7EC44"/>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F8"/>
    <w:rsid w:val="00005C54"/>
    <w:rsid w:val="000124D9"/>
    <w:rsid w:val="00016D30"/>
    <w:rsid w:val="00043367"/>
    <w:rsid w:val="00043BA8"/>
    <w:rsid w:val="00061010"/>
    <w:rsid w:val="0007239F"/>
    <w:rsid w:val="000E251A"/>
    <w:rsid w:val="000F6446"/>
    <w:rsid w:val="000F6A56"/>
    <w:rsid w:val="00104681"/>
    <w:rsid w:val="00105A6D"/>
    <w:rsid w:val="0011749F"/>
    <w:rsid w:val="00126916"/>
    <w:rsid w:val="00163F63"/>
    <w:rsid w:val="001652C9"/>
    <w:rsid w:val="00173453"/>
    <w:rsid w:val="001805F2"/>
    <w:rsid w:val="00200FA6"/>
    <w:rsid w:val="00203A05"/>
    <w:rsid w:val="00213EBB"/>
    <w:rsid w:val="00226F2D"/>
    <w:rsid w:val="00235C86"/>
    <w:rsid w:val="00242F3E"/>
    <w:rsid w:val="00251220"/>
    <w:rsid w:val="002B1D7A"/>
    <w:rsid w:val="002D7D6C"/>
    <w:rsid w:val="002E672F"/>
    <w:rsid w:val="00307997"/>
    <w:rsid w:val="0031340C"/>
    <w:rsid w:val="003139CE"/>
    <w:rsid w:val="003153B5"/>
    <w:rsid w:val="00334CCD"/>
    <w:rsid w:val="003620F6"/>
    <w:rsid w:val="00381739"/>
    <w:rsid w:val="00396A39"/>
    <w:rsid w:val="003A5DC2"/>
    <w:rsid w:val="003B4B76"/>
    <w:rsid w:val="003D38D7"/>
    <w:rsid w:val="003D6C3F"/>
    <w:rsid w:val="003E1D5A"/>
    <w:rsid w:val="003F3A3F"/>
    <w:rsid w:val="004058F8"/>
    <w:rsid w:val="0041348D"/>
    <w:rsid w:val="00417724"/>
    <w:rsid w:val="00417C27"/>
    <w:rsid w:val="00422530"/>
    <w:rsid w:val="00436B7D"/>
    <w:rsid w:val="00450FC4"/>
    <w:rsid w:val="00463D26"/>
    <w:rsid w:val="004D226E"/>
    <w:rsid w:val="004F3282"/>
    <w:rsid w:val="00502CD7"/>
    <w:rsid w:val="00511201"/>
    <w:rsid w:val="00511537"/>
    <w:rsid w:val="00522594"/>
    <w:rsid w:val="005316DD"/>
    <w:rsid w:val="005429F4"/>
    <w:rsid w:val="00544E38"/>
    <w:rsid w:val="0056490C"/>
    <w:rsid w:val="00564C21"/>
    <w:rsid w:val="00583537"/>
    <w:rsid w:val="0058381D"/>
    <w:rsid w:val="00595FCF"/>
    <w:rsid w:val="005A4995"/>
    <w:rsid w:val="005B08F8"/>
    <w:rsid w:val="005B54CF"/>
    <w:rsid w:val="005B5A0D"/>
    <w:rsid w:val="005B761F"/>
    <w:rsid w:val="005D3E5E"/>
    <w:rsid w:val="005E4C11"/>
    <w:rsid w:val="00614645"/>
    <w:rsid w:val="00637C68"/>
    <w:rsid w:val="00662103"/>
    <w:rsid w:val="00666388"/>
    <w:rsid w:val="00690EDB"/>
    <w:rsid w:val="006957A2"/>
    <w:rsid w:val="006B064E"/>
    <w:rsid w:val="006C3EA3"/>
    <w:rsid w:val="006C71FD"/>
    <w:rsid w:val="006F2015"/>
    <w:rsid w:val="007142FE"/>
    <w:rsid w:val="007143C0"/>
    <w:rsid w:val="00722B6A"/>
    <w:rsid w:val="007474D3"/>
    <w:rsid w:val="00765ACC"/>
    <w:rsid w:val="007662B5"/>
    <w:rsid w:val="00797C12"/>
    <w:rsid w:val="007B332B"/>
    <w:rsid w:val="007F7158"/>
    <w:rsid w:val="008138CD"/>
    <w:rsid w:val="00814741"/>
    <w:rsid w:val="00826C38"/>
    <w:rsid w:val="00827F64"/>
    <w:rsid w:val="00865722"/>
    <w:rsid w:val="00887559"/>
    <w:rsid w:val="008A200A"/>
    <w:rsid w:val="008A66FA"/>
    <w:rsid w:val="008B231E"/>
    <w:rsid w:val="008C10CE"/>
    <w:rsid w:val="008C1C6E"/>
    <w:rsid w:val="00920361"/>
    <w:rsid w:val="00931FB7"/>
    <w:rsid w:val="00935AAA"/>
    <w:rsid w:val="00962493"/>
    <w:rsid w:val="009B5F6A"/>
    <w:rsid w:val="009D2313"/>
    <w:rsid w:val="00A002D3"/>
    <w:rsid w:val="00A02C1F"/>
    <w:rsid w:val="00A156FF"/>
    <w:rsid w:val="00A32A15"/>
    <w:rsid w:val="00A52EA3"/>
    <w:rsid w:val="00A60CB0"/>
    <w:rsid w:val="00A8176E"/>
    <w:rsid w:val="00AB1551"/>
    <w:rsid w:val="00AB5F92"/>
    <w:rsid w:val="00B14D3F"/>
    <w:rsid w:val="00B26429"/>
    <w:rsid w:val="00B2713C"/>
    <w:rsid w:val="00B47B65"/>
    <w:rsid w:val="00B5019A"/>
    <w:rsid w:val="00B65F86"/>
    <w:rsid w:val="00B736A8"/>
    <w:rsid w:val="00B9552B"/>
    <w:rsid w:val="00BD3724"/>
    <w:rsid w:val="00BF400D"/>
    <w:rsid w:val="00C05269"/>
    <w:rsid w:val="00C143A2"/>
    <w:rsid w:val="00C27539"/>
    <w:rsid w:val="00C45682"/>
    <w:rsid w:val="00CA0F28"/>
    <w:rsid w:val="00CA1852"/>
    <w:rsid w:val="00CA6BAA"/>
    <w:rsid w:val="00CB40B1"/>
    <w:rsid w:val="00CE37D6"/>
    <w:rsid w:val="00CF51D3"/>
    <w:rsid w:val="00D30A85"/>
    <w:rsid w:val="00D41ACF"/>
    <w:rsid w:val="00D521F2"/>
    <w:rsid w:val="00D54932"/>
    <w:rsid w:val="00D57512"/>
    <w:rsid w:val="00D662C1"/>
    <w:rsid w:val="00D87D6C"/>
    <w:rsid w:val="00DA4F93"/>
    <w:rsid w:val="00E41B71"/>
    <w:rsid w:val="00E44CE5"/>
    <w:rsid w:val="00E50FDD"/>
    <w:rsid w:val="00E52674"/>
    <w:rsid w:val="00E63A08"/>
    <w:rsid w:val="00E80C3F"/>
    <w:rsid w:val="00E92617"/>
    <w:rsid w:val="00EA0686"/>
    <w:rsid w:val="00EA68A9"/>
    <w:rsid w:val="00EB4D2A"/>
    <w:rsid w:val="00EB74E9"/>
    <w:rsid w:val="00EE18E4"/>
    <w:rsid w:val="00F033AF"/>
    <w:rsid w:val="00F04998"/>
    <w:rsid w:val="00F37B6C"/>
    <w:rsid w:val="00F42F50"/>
    <w:rsid w:val="00F45B64"/>
    <w:rsid w:val="00F61C62"/>
    <w:rsid w:val="00FB00B6"/>
    <w:rsid w:val="00FB1DA2"/>
    <w:rsid w:val="00FB6770"/>
    <w:rsid w:val="00FD0854"/>
    <w:rsid w:val="00FE1BCE"/>
    <w:rsid w:val="79EF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长沙市岳麓区云风计算机修理服务部</Company>
  <Pages>8</Pages>
  <Words>499</Words>
  <Characters>2849</Characters>
  <Lines>23</Lines>
  <Paragraphs>6</Paragraphs>
  <TotalTime>1</TotalTime>
  <ScaleCrop>false</ScaleCrop>
  <LinksUpToDate>false</LinksUpToDate>
  <CharactersWithSpaces>3342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2024-04-02T17:22:00Z</dcterms:created>
  <dc:creator>红</dc:creator>
  <cp:lastModifiedBy>kylin</cp:lastModifiedBy>
  <dcterms:modified xsi:type="dcterms:W3CDTF">2024-07-31T11:49:30Z</dcterms:modified>
  <dc:title>附件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6B047E066C32DA084AB4A966B056B5C5</vt:lpwstr>
  </property>
</Properties>
</file>